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spacing w:before="5" w:line="600" w:lineRule="exact"/>
        <w:ind w:right="238"/>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4：</w:t>
      </w:r>
    </w:p>
    <w:p>
      <w:pPr>
        <w:jc w:val="center"/>
        <w:rPr>
          <w:rFonts w:hint="eastAsia" w:ascii="黑体" w:hAnsi="黑体" w:eastAsia="黑体"/>
          <w:b/>
          <w:bCs/>
          <w:color w:val="auto"/>
          <w:sz w:val="44"/>
          <w:szCs w:val="44"/>
          <w:highlight w:val="none"/>
        </w:rPr>
      </w:pPr>
      <w:r>
        <w:rPr>
          <w:rFonts w:hint="eastAsia" w:ascii="黑体" w:hAnsi="黑体" w:eastAsia="黑体"/>
          <w:b/>
          <w:bCs/>
          <w:color w:val="auto"/>
          <w:sz w:val="44"/>
          <w:szCs w:val="44"/>
          <w:highlight w:val="none"/>
        </w:rPr>
        <w:t>吉林省住宅小区临时管理规约</w:t>
      </w:r>
    </w:p>
    <w:p>
      <w:pPr>
        <w:pStyle w:val="2"/>
        <w:rPr>
          <w:color w:val="auto"/>
          <w:highlight w:val="none"/>
        </w:rPr>
      </w:pPr>
    </w:p>
    <w:p>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（示范文本）</w:t>
      </w:r>
    </w:p>
    <w:p>
      <w:pPr>
        <w:pStyle w:val="2"/>
        <w:rPr>
          <w:color w:val="auto"/>
          <w:highlight w:val="none"/>
        </w:rPr>
      </w:pPr>
    </w:p>
    <w:p>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使 用 说 明</w:t>
      </w:r>
    </w:p>
    <w:p>
      <w:pPr>
        <w:ind w:firstLine="640" w:firstLineChars="200"/>
        <w:rPr>
          <w:rFonts w:ascii="仿宋" w:hAnsi="仿宋" w:eastAsia="仿宋" w:cs="仿宋"/>
          <w:color w:val="auto"/>
          <w:sz w:val="32"/>
          <w:szCs w:val="32"/>
          <w:highlight w:val="none"/>
        </w:rPr>
      </w:pPr>
    </w:p>
    <w:p>
      <w:pPr>
        <w:numPr>
          <w:ilvl w:val="0"/>
          <w:numId w:val="1"/>
        </w:num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本临时管理规约文本为示范文本。</w:t>
      </w:r>
    </w:p>
    <w:p>
      <w:pPr>
        <w:numPr>
          <w:ilvl w:val="0"/>
          <w:numId w:val="0"/>
        </w:num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临时管理规约是具有过渡性质的基础性文件，对全体业主具有约束力</w:t>
      </w:r>
      <w:r>
        <w:rPr>
          <w:rFonts w:hint="eastAsia" w:ascii="仿宋" w:hAnsi="仿宋" w:eastAsia="仿宋" w:cs="仿宋"/>
          <w:color w:val="auto"/>
          <w:sz w:val="32"/>
          <w:szCs w:val="32"/>
          <w:highlight w:val="none"/>
        </w:rPr>
        <w:t>。</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color w:val="auto"/>
          <w:sz w:val="32"/>
          <w:szCs w:val="32"/>
          <w:highlight w:val="none"/>
          <w:lang w:val="en-US" w:eastAsia="zh-CN"/>
        </w:rPr>
        <w:t>业主、建设单位等主体，应遵守《物业管理条例》《吉林省物业管理条例》等法律法规</w:t>
      </w:r>
      <w:r>
        <w:rPr>
          <w:rFonts w:hint="eastAsia" w:ascii="仿宋" w:hAnsi="仿宋" w:eastAsia="仿宋" w:cs="仿宋"/>
          <w:color w:val="auto"/>
          <w:sz w:val="32"/>
          <w:szCs w:val="32"/>
          <w:highlight w:val="none"/>
        </w:rPr>
        <w:t>。</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numPr>
          <w:ilvl w:val="0"/>
          <w:numId w:val="2"/>
        </w:numPr>
        <w:spacing w:before="156" w:beforeLines="50" w:after="156" w:afterLines="50"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总则</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 为了维护业主的合法权益，根据有关法律、法规的规定，结合吉林省</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市</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区/县</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街道/乡</w:t>
      </w:r>
      <w:r>
        <w:rPr>
          <w:rFonts w:ascii="仿宋" w:hAnsi="仿宋" w:eastAsia="仿宋" w:cs="仿宋"/>
          <w:color w:val="auto"/>
          <w:sz w:val="32"/>
          <w:szCs w:val="32"/>
          <w:highlight w:val="none"/>
        </w:rPr>
        <w:t>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物业管理区域（以下简称“本物业管理区域”）实际情况，制定本规约。</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本规约对本物业管理区域内全体业主、物业使用人均具有约束力。</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建设单位应当在物业销售前将本临时管理规约向物业买受人明示，并予以说明。</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物业的所有权发生变更时，本规约对原业主的效力及于新</w:t>
      </w:r>
      <w:r>
        <w:rPr>
          <w:rFonts w:ascii="仿宋" w:hAnsi="仿宋" w:eastAsia="仿宋" w:cs="仿宋"/>
          <w:color w:val="auto"/>
          <w:sz w:val="32"/>
          <w:szCs w:val="32"/>
          <w:highlight w:val="none"/>
        </w:rPr>
        <w:t>的业主</w:t>
      </w:r>
      <w:r>
        <w:rPr>
          <w:rFonts w:hint="eastAsia" w:ascii="仿宋" w:hAnsi="仿宋" w:eastAsia="仿宋" w:cs="仿宋"/>
          <w:color w:val="auto"/>
          <w:sz w:val="32"/>
          <w:szCs w:val="32"/>
          <w:highlight w:val="none"/>
        </w:rPr>
        <w:t>。业主转让或者出租物业时，应书</w:t>
      </w:r>
      <w:r>
        <w:rPr>
          <w:rFonts w:ascii="仿宋" w:hAnsi="仿宋" w:eastAsia="仿宋" w:cs="仿宋"/>
          <w:color w:val="auto"/>
          <w:sz w:val="32"/>
          <w:szCs w:val="32"/>
          <w:highlight w:val="none"/>
        </w:rPr>
        <w:t>面</w:t>
      </w:r>
      <w:r>
        <w:rPr>
          <w:rFonts w:hint="eastAsia" w:ascii="仿宋" w:hAnsi="仿宋" w:eastAsia="仿宋" w:cs="仿宋"/>
          <w:color w:val="auto"/>
          <w:sz w:val="32"/>
          <w:szCs w:val="32"/>
          <w:highlight w:val="none"/>
        </w:rPr>
        <w:t>告知物业服务人。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第三条 业主在物业管理活动中依法享有下列权利：</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（一）按照物业服务合同约定，接受物业服务人提供的服务；</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（二）提议成立业主大会，提议召开业主大会会议，并就物业管理的相关事项提出建议；</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（三）提出制定和修改业主大会议事规则、管理规约的建议；</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（四）参加业主大会会议，行使投票权；</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（五）选举业主委员会成员，并享有被选举权；</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（六）监督首次业主大会会议筹备组、业主委员会的工作；</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（七）监督物业服务人履行物业服务合同；</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（八）对物业共用部位、共用设施设备和相关场地使用情况享有知情权和监督权；</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（九）监督专项维修资金的管理和使用；</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（十）法律、法规规定的其他权利。</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第四条 业主在物业管理活动中应当依法履行下列义务：</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（一）遵守业主大会议事规则、管理规约；</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（二）遵守物业管理区域内物业共用部位和共用设施设备的使用、公共秩序和环境卫生的管理、维护等方面的规章制度；</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（三）执行业主大会的决定和业主大会授权业主委员会作出的决定；</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（四）按照规定交存专项维修资金；</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（五）按照约定向物业服务人支付物业费。物业服务人已按照约定和有关规定提供服务的，业主不得以未接受或者无需接受相关物业服务为由拒绝支付物业费；</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（六）按照规定分类投放生活垃圾；</w:t>
      </w:r>
    </w:p>
    <w:p>
      <w:pPr>
        <w:spacing w:line="560" w:lineRule="exact"/>
        <w:ind w:firstLine="640" w:firstLineChars="200"/>
        <w:rPr>
          <w:color w:val="auto"/>
          <w:highlight w:val="none"/>
        </w:rPr>
      </w:pPr>
      <w:r>
        <w:rPr>
          <w:rFonts w:hint="eastAsia" w:ascii="仿宋" w:hAnsi="仿宋" w:eastAsia="仿宋" w:cs="仿宋"/>
          <w:color w:val="auto"/>
          <w:sz w:val="32"/>
          <w:szCs w:val="32"/>
          <w:highlight w:val="none"/>
        </w:rPr>
        <w:t>（七）法律、法规规定的其他义务。</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业主对建筑物专有部分以外的共有部分，享有权利，承担义务；不得以放弃权利为由不履行义务。</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业主转让物业，应当结清物业费、专项维修资金等费用。</w:t>
      </w:r>
    </w:p>
    <w:p>
      <w:pPr>
        <w:spacing w:line="560" w:lineRule="exact"/>
        <w:ind w:firstLine="640" w:firstLineChars="200"/>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第五条 业主、物业使用人应遵守法律、法规的规定和本规约的约定，按照有利于物业使用、安全、整洁以及公平、合理、不损害公共利益和他人利益的原则，在供电、供水、供气、排水、通行、通风、采光、维修、装饰装修、房屋外观等方面妥善处理与相邻业主的关系，并承担消防、卫生等方面的安全责任。</w:t>
      </w:r>
    </w:p>
    <w:p>
      <w:pPr>
        <w:numPr>
          <w:ilvl w:val="0"/>
          <w:numId w:val="2"/>
        </w:numPr>
        <w:spacing w:before="156" w:beforeLines="50" w:after="156" w:afterLines="50"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物业管理区域及设施</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第六条  本物业管理区域的基本情况</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（一）名称</w:t>
      </w:r>
      <w:bookmarkStart w:id="0" w:name="_Hlk15477388"/>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bookmarkEnd w:id="0"/>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（二）坐落位置：</w:t>
      </w:r>
      <w:bookmarkStart w:id="1" w:name="_Hlk15477411"/>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bookmarkEnd w:id="1"/>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（三）物业总建筑面积：</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（四）物业类型：</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（五）土地宗地号：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（六）区域四至如下：</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东至</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南至</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西至</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北至</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numPr>
          <w:ilvl w:val="0"/>
          <w:numId w:val="3"/>
        </w:num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物业服务办公用房建筑面积为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平方米，位于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[幢]</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[座]</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单元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层</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室； </w:t>
      </w:r>
    </w:p>
    <w:p>
      <w:pPr>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业主委员会办公用房建筑面积为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平方米，位于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[幢]</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[座]</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单元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层</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室；</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（注：物业服务用房为多处时，可在横线处自行增加内容。本物业管理区域的基本情况详见附件1、附件2和附件3）</w:t>
      </w:r>
    </w:p>
    <w:p>
      <w:pPr>
        <w:ind w:firstLine="640" w:firstLineChars="200"/>
        <w:rPr>
          <w:rFonts w:ascii="仿宋_GB2312" w:hAnsi="仿宋_GB2312" w:eastAsia="仿宋_GB2312"/>
          <w:color w:val="auto"/>
          <w:sz w:val="32"/>
          <w:szCs w:val="32"/>
          <w:highlight w:val="none"/>
        </w:rPr>
      </w:pPr>
      <w:r>
        <w:rPr>
          <w:rFonts w:hint="eastAsia" w:ascii="仿宋" w:hAnsi="仿宋" w:eastAsia="仿宋" w:cs="仿宋"/>
          <w:color w:val="auto"/>
          <w:sz w:val="32"/>
          <w:szCs w:val="32"/>
          <w:highlight w:val="none"/>
        </w:rPr>
        <w:t>第七条</w:t>
      </w:r>
      <w:r>
        <w:rPr>
          <w:rFonts w:hint="eastAsia" w:ascii="仿宋_GB2312" w:hAnsi="仿宋_GB2312" w:eastAsia="仿宋_GB2312"/>
          <w:color w:val="auto"/>
          <w:sz w:val="32"/>
          <w:szCs w:val="32"/>
          <w:highlight w:val="none"/>
        </w:rPr>
        <w:t xml:space="preserve"> 本物业管理区域内的以下部分属于业主共有</w:t>
      </w: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rPr>
        <w:br w:type="textWrapping"/>
      </w:r>
      <w:r>
        <w:rPr>
          <w:rFonts w:hint="eastAsia" w:ascii="宋体" w:hAnsi="宋体" w:cs="宋体"/>
          <w:color w:val="auto"/>
          <w:szCs w:val="21"/>
          <w:highlight w:val="none"/>
          <w:shd w:val="clear" w:color="auto" w:fill="FFFFFF"/>
        </w:rPr>
        <w:t>　</w:t>
      </w:r>
      <w:r>
        <w:rPr>
          <w:rFonts w:hint="eastAsia" w:ascii="仿宋_GB2312" w:hAnsi="仿宋_GB2312" w:eastAsia="仿宋_GB2312"/>
          <w:color w:val="auto"/>
          <w:sz w:val="32"/>
          <w:szCs w:val="32"/>
          <w:highlight w:val="none"/>
        </w:rPr>
        <w:t>　1．由单幢建筑物的全体业主共有的共用部位，包括该幢建筑物的承重结构、主体结构，公共门厅、公共走廊、公共楼梯间、户外墙面、屋面、______、______、______等；</w:t>
      </w:r>
      <w:r>
        <w:rPr>
          <w:rFonts w:hint="eastAsia" w:ascii="仿宋_GB2312" w:hAnsi="仿宋_GB2312" w:eastAsia="仿宋_GB2312"/>
          <w:color w:val="auto"/>
          <w:sz w:val="32"/>
          <w:szCs w:val="32"/>
          <w:highlight w:val="none"/>
        </w:rPr>
        <w:br w:type="textWrapping"/>
      </w:r>
      <w:r>
        <w:rPr>
          <w:rFonts w:hint="eastAsia" w:ascii="仿宋_GB2312" w:hAnsi="仿宋_GB2312" w:eastAsia="仿宋_GB2312"/>
          <w:color w:val="auto"/>
          <w:sz w:val="32"/>
          <w:szCs w:val="32"/>
          <w:highlight w:val="none"/>
        </w:rPr>
        <w:t>　　2．由单幢建筑物的全体业主共有的共用设施设备，包括该幢建筑物内的给排水管道、落水管、水箱、水泵、电梯、冷暖设施、照明设施、消防设施、避雷设施、______、______、______等；</w:t>
      </w:r>
      <w:r>
        <w:rPr>
          <w:rFonts w:hint="eastAsia" w:ascii="仿宋_GB2312" w:hAnsi="仿宋_GB2312" w:eastAsia="仿宋_GB2312"/>
          <w:color w:val="auto"/>
          <w:sz w:val="32"/>
          <w:szCs w:val="32"/>
          <w:highlight w:val="none"/>
        </w:rPr>
        <w:br w:type="textWrapping"/>
      </w:r>
      <w:r>
        <w:rPr>
          <w:rFonts w:hint="eastAsia" w:ascii="仿宋_GB2312" w:hAnsi="仿宋_GB2312" w:eastAsia="仿宋_GB2312"/>
          <w:color w:val="auto"/>
          <w:sz w:val="32"/>
          <w:szCs w:val="32"/>
          <w:highlight w:val="none"/>
        </w:rPr>
        <w:t>　　3．由物业管理区域内全体业主共有的共用部位和共用设施设备，包括围墙、池井、照明设施、共用设施设备使用的房屋、物业服务用房、______、______、______等。</w:t>
      </w:r>
    </w:p>
    <w:p>
      <w:pPr>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4</w:t>
      </w:r>
      <w:r>
        <w:rPr>
          <w:rFonts w:hint="eastAsia" w:ascii="仿宋_GB2312" w:hAnsi="仿宋_GB2312" w:eastAsia="仿宋_GB2312"/>
          <w:color w:val="auto"/>
          <w:sz w:val="32"/>
          <w:szCs w:val="32"/>
          <w:highlight w:val="none"/>
        </w:rPr>
        <w:t>．道路、绿地，但是属于城镇公共道路、城镇公共绿地或者明示属于个人的除外；</w:t>
      </w:r>
    </w:p>
    <w:p>
      <w:pPr>
        <w:ind w:firstLine="640" w:firstLineChars="200"/>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5</w:t>
      </w:r>
      <w:r>
        <w:rPr>
          <w:rFonts w:hint="eastAsia" w:ascii="仿宋_GB2312" w:hAnsi="仿宋_GB2312" w:eastAsia="仿宋_GB2312"/>
          <w:color w:val="auto"/>
          <w:sz w:val="32"/>
          <w:szCs w:val="32"/>
          <w:highlight w:val="none"/>
        </w:rPr>
        <w:t>．占用业主共有的道路或者其他场地用于停放汽车的车位。</w:t>
      </w:r>
    </w:p>
    <w:p>
      <w:pPr>
        <w:ind w:firstLine="640" w:firstLineChars="2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第八条 在</w:t>
      </w:r>
      <w:r>
        <w:rPr>
          <w:rFonts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rPr>
        <w:t>物</w:t>
      </w:r>
      <w:r>
        <w:rPr>
          <w:rFonts w:ascii="仿宋_GB2312" w:hAnsi="仿宋_GB2312" w:eastAsia="仿宋_GB2312"/>
          <w:color w:val="auto"/>
          <w:sz w:val="32"/>
          <w:szCs w:val="32"/>
          <w:highlight w:val="none"/>
        </w:rPr>
        <w:t>业管理区域内</w:t>
      </w:r>
      <w:r>
        <w:rPr>
          <w:rFonts w:hint="eastAsia" w:ascii="仿宋_GB2312" w:hAnsi="仿宋_GB2312" w:eastAsia="仿宋_GB2312"/>
          <w:color w:val="auto"/>
          <w:sz w:val="32"/>
          <w:szCs w:val="32"/>
          <w:highlight w:val="none"/>
        </w:rPr>
        <w:t>，根据</w:t>
      </w:r>
      <w:r>
        <w:rPr>
          <w:rFonts w:ascii="仿宋_GB2312" w:hAnsi="仿宋_GB2312" w:eastAsia="仿宋_GB2312"/>
          <w:color w:val="auto"/>
          <w:sz w:val="32"/>
          <w:szCs w:val="32"/>
          <w:highlight w:val="none"/>
        </w:rPr>
        <w:t>物业买卖合同</w:t>
      </w:r>
      <w:r>
        <w:rPr>
          <w:rFonts w:hint="eastAsia" w:ascii="仿宋_GB2312" w:hAnsi="仿宋_GB2312" w:eastAsia="仿宋_GB2312"/>
          <w:color w:val="auto"/>
          <w:sz w:val="32"/>
          <w:szCs w:val="32"/>
          <w:highlight w:val="none"/>
        </w:rPr>
        <w:t>，以</w:t>
      </w:r>
      <w:r>
        <w:rPr>
          <w:rFonts w:ascii="仿宋_GB2312" w:hAnsi="仿宋_GB2312" w:eastAsia="仿宋_GB2312"/>
          <w:color w:val="auto"/>
          <w:sz w:val="32"/>
          <w:szCs w:val="32"/>
          <w:highlight w:val="none"/>
        </w:rPr>
        <w:t>下部位和设施设备</w:t>
      </w:r>
      <w:r>
        <w:rPr>
          <w:rFonts w:hint="eastAsia" w:ascii="仿宋_GB2312" w:hAnsi="仿宋_GB2312" w:eastAsia="仿宋_GB2312"/>
          <w:color w:val="auto"/>
          <w:sz w:val="32"/>
          <w:szCs w:val="32"/>
          <w:highlight w:val="none"/>
        </w:rPr>
        <w:t>为</w:t>
      </w:r>
      <w:r>
        <w:rPr>
          <w:rFonts w:ascii="仿宋_GB2312" w:hAnsi="仿宋_GB2312" w:eastAsia="仿宋_GB2312"/>
          <w:color w:val="auto"/>
          <w:sz w:val="32"/>
          <w:szCs w:val="32"/>
          <w:highlight w:val="none"/>
        </w:rPr>
        <w:t>建设单</w:t>
      </w:r>
      <w:r>
        <w:rPr>
          <w:rFonts w:hint="eastAsia" w:ascii="仿宋_GB2312" w:hAnsi="仿宋_GB2312" w:eastAsia="仿宋_GB2312"/>
          <w:color w:val="auto"/>
          <w:sz w:val="32"/>
          <w:szCs w:val="32"/>
          <w:highlight w:val="none"/>
        </w:rPr>
        <w:t>所</w:t>
      </w:r>
      <w:r>
        <w:rPr>
          <w:rFonts w:ascii="仿宋_GB2312" w:hAnsi="仿宋_GB2312" w:eastAsia="仿宋_GB2312"/>
          <w:color w:val="auto"/>
          <w:sz w:val="32"/>
          <w:szCs w:val="32"/>
          <w:highlight w:val="none"/>
        </w:rPr>
        <w:t>有</w:t>
      </w:r>
      <w:r>
        <w:rPr>
          <w:rFonts w:hint="eastAsia" w:ascii="仿宋_GB2312" w:hAnsi="仿宋_GB2312" w:eastAsia="仿宋_GB2312"/>
          <w:color w:val="auto"/>
          <w:sz w:val="32"/>
          <w:szCs w:val="32"/>
          <w:highlight w:val="none"/>
        </w:rPr>
        <w:t>：</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u w:val="single"/>
        </w:rPr>
        <w:t xml:space="preserve">   </w:t>
      </w:r>
      <w:r>
        <w:rPr>
          <w:rFonts w:ascii="仿宋_GB2312" w:hAnsi="仿宋_GB2312"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rPr>
        <w:t>。</w:t>
      </w:r>
    </w:p>
    <w:p>
      <w:pPr>
        <w:ind w:firstLine="640" w:firstLineChars="200"/>
        <w:rPr>
          <w:rFonts w:ascii="仿宋" w:hAnsi="仿宋" w:eastAsia="仿宋" w:cs="仿宋"/>
          <w:color w:val="auto"/>
          <w:sz w:val="32"/>
          <w:szCs w:val="32"/>
          <w:highlight w:val="none"/>
        </w:rPr>
      </w:pPr>
      <w:r>
        <w:rPr>
          <w:rFonts w:hint="eastAsia" w:ascii="仿宋_GB2312" w:hAnsi="仿宋_GB2312" w:eastAsia="仿宋_GB2312"/>
          <w:color w:val="auto"/>
          <w:sz w:val="32"/>
          <w:szCs w:val="32"/>
          <w:highlight w:val="none"/>
        </w:rPr>
        <w:t>建设</w:t>
      </w:r>
      <w:r>
        <w:rPr>
          <w:rFonts w:ascii="仿宋_GB2312" w:hAnsi="仿宋_GB2312" w:eastAsia="仿宋_GB2312"/>
          <w:color w:val="auto"/>
          <w:sz w:val="32"/>
          <w:szCs w:val="32"/>
          <w:highlight w:val="none"/>
        </w:rPr>
        <w:t>单位行使以上部位和设施设备的所有权</w:t>
      </w:r>
      <w:r>
        <w:rPr>
          <w:rFonts w:hint="eastAsia" w:ascii="仿宋_GB2312" w:hAnsi="仿宋_GB2312" w:eastAsia="仿宋_GB2312"/>
          <w:color w:val="auto"/>
          <w:sz w:val="32"/>
          <w:szCs w:val="32"/>
          <w:highlight w:val="none"/>
        </w:rPr>
        <w:t>，不</w:t>
      </w:r>
      <w:r>
        <w:rPr>
          <w:rFonts w:ascii="仿宋_GB2312" w:hAnsi="仿宋_GB2312" w:eastAsia="仿宋_GB2312"/>
          <w:color w:val="auto"/>
          <w:sz w:val="32"/>
          <w:szCs w:val="32"/>
          <w:highlight w:val="none"/>
        </w:rPr>
        <w:t>得影响物业买受人正常</w:t>
      </w:r>
      <w:r>
        <w:rPr>
          <w:rFonts w:hint="eastAsia" w:ascii="仿宋_GB2312" w:hAnsi="仿宋_GB2312" w:eastAsia="仿宋_GB2312"/>
          <w:color w:val="auto"/>
          <w:sz w:val="32"/>
          <w:szCs w:val="32"/>
          <w:highlight w:val="none"/>
        </w:rPr>
        <w:t>使用</w:t>
      </w:r>
      <w:r>
        <w:rPr>
          <w:rFonts w:ascii="仿宋_GB2312" w:hAnsi="仿宋_GB2312" w:eastAsia="仿宋_GB2312"/>
          <w:color w:val="auto"/>
          <w:sz w:val="32"/>
          <w:szCs w:val="32"/>
          <w:highlight w:val="none"/>
        </w:rPr>
        <w:t>物业</w:t>
      </w:r>
      <w:r>
        <w:rPr>
          <w:rFonts w:hint="eastAsia" w:ascii="仿宋_GB2312" w:hAnsi="仿宋_GB2312" w:eastAsia="仿宋_GB2312"/>
          <w:color w:val="auto"/>
          <w:sz w:val="32"/>
          <w:szCs w:val="32"/>
          <w:highlight w:val="none"/>
        </w:rPr>
        <w:t>。</w:t>
      </w:r>
    </w:p>
    <w:p>
      <w:pPr>
        <w:numPr>
          <w:ilvl w:val="0"/>
          <w:numId w:val="2"/>
        </w:numPr>
        <w:spacing w:before="156" w:beforeLines="50" w:after="156" w:afterLines="50" w:line="560" w:lineRule="exact"/>
        <w:jc w:val="center"/>
        <w:rPr>
          <w:rFonts w:ascii="仿宋" w:hAnsi="仿宋" w:eastAsia="仿宋" w:cs="仿宋"/>
          <w:b/>
          <w:bCs/>
          <w:color w:val="auto"/>
          <w:sz w:val="32"/>
          <w:szCs w:val="32"/>
          <w:highlight w:val="none"/>
        </w:rPr>
      </w:pPr>
      <w:bookmarkStart w:id="2" w:name="_Hlk15555068"/>
      <w:r>
        <w:rPr>
          <w:rFonts w:hint="eastAsia" w:ascii="仿宋" w:hAnsi="仿宋" w:eastAsia="仿宋" w:cs="仿宋"/>
          <w:b/>
          <w:bCs/>
          <w:color w:val="auto"/>
          <w:sz w:val="32"/>
          <w:szCs w:val="32"/>
          <w:highlight w:val="none"/>
        </w:rPr>
        <w:t>物业的安全管理与使用</w:t>
      </w:r>
      <w:bookmarkEnd w:id="2"/>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第九条 业主、物业使用人应按照政府有关部门批准或者不动产登记簿载明的用途使用物业专有部分，不得擅自改变物业专有部分的使用性质。</w:t>
      </w:r>
    </w:p>
    <w:p>
      <w:pPr>
        <w:spacing w:line="560" w:lineRule="exact"/>
        <w:ind w:firstLine="640" w:firstLineChars="200"/>
        <w:rPr>
          <w:rFonts w:ascii="仿宋" w:hAnsi="仿宋" w:eastAsia="仿宋" w:cs="仿宋"/>
          <w:color w:val="auto"/>
          <w:sz w:val="32"/>
          <w:szCs w:val="32"/>
          <w:highlight w:val="none"/>
        </w:rPr>
      </w:pPr>
      <w:bookmarkStart w:id="3" w:name="_Hlk15555192"/>
      <w:r>
        <w:rPr>
          <w:rFonts w:hint="eastAsia" w:ascii="仿宋" w:hAnsi="仿宋" w:eastAsia="仿宋" w:cs="仿宋"/>
          <w:color w:val="auto"/>
          <w:sz w:val="32"/>
          <w:szCs w:val="32"/>
          <w:highlight w:val="none"/>
        </w:rPr>
        <w:t>因特殊情况需要改变物业用途的，除遵守法律、法规以及本规约外，应当征得有利害关系的业主一致同意，并报相关政府部门批准，但本物业管理区域内严禁将住宅改变为:</w:t>
      </w:r>
      <w:r>
        <w:rPr>
          <w:rFonts w:ascii="仿宋_GB2312" w:hAnsi="仿宋_GB2312" w:eastAsia="仿宋_GB2312"/>
          <w:color w:val="auto"/>
          <w:sz w:val="32"/>
          <w:szCs w:val="32"/>
          <w:highlight w:val="none"/>
          <w:u w:val="single"/>
        </w:rPr>
        <w:t xml:space="preserve">           </w:t>
      </w:r>
      <w:r>
        <w:rPr>
          <w:rFonts w:hint="eastAsia" w:ascii="仿宋" w:hAnsi="仿宋" w:eastAsia="仿宋" w:cs="仿宋"/>
          <w:color w:val="auto"/>
          <w:sz w:val="32"/>
          <w:szCs w:val="32"/>
          <w:highlight w:val="none"/>
        </w:rPr>
        <w:t>（如餐饮、娱乐、宾馆等经营性场所）。</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第十条 业主、物业使用人负责物业专有部分的安全检查、维护、保养，及时消除安全隐患，对其所有或者使用的窗户、阳台、搁置物、悬挂物等可能影响公共安全的物品和设施设备承担安全管理责任。</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第十一条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业主、物业使用人应配合、协助物业服务人对共有物业进行安全检查、维护保养等工作。</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第十二条 本物业管理区域内业主、物业使用人禁止出现下列行为：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（一）擅自变动建筑主体和承重结构和外貌；</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（二）违法搭建建筑物、构筑物或者私挖地下空间；</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（三）占用、堵塞、封闭消防车通道、疏散通道、安全出口，损毁消防设施设备；</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（四）违反规定制造、储存、使用、处置爆炸性、毒害性、放射性、腐蚀性物质或者传染病病原体等危险物质；</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（五）违反规定制造噪声干扰他人正常生活；</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（六）侵占、毁坏公共绿地、树木和绿化设施；</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（七）饲养动物干扰他人正常生活或者放任动物恐吓他人；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（八）从建筑物中抛掷物品；</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（九）违反规定出租房屋；</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w:t>
      </w:r>
      <w:r>
        <w:rPr>
          <w:rFonts w:ascii="仿宋" w:hAnsi="仿宋" w:eastAsia="仿宋" w:cs="仿宋"/>
          <w:color w:val="auto"/>
          <w:sz w:val="32"/>
          <w:szCs w:val="32"/>
          <w:highlight w:val="none"/>
        </w:rPr>
        <w:t>违反规定</w:t>
      </w:r>
      <w:r>
        <w:rPr>
          <w:rFonts w:hint="eastAsia" w:ascii="仿宋" w:hAnsi="仿宋" w:eastAsia="仿宋"/>
          <w:color w:val="auto"/>
          <w:sz w:val="32"/>
          <w:szCs w:val="32"/>
          <w:highlight w:val="none"/>
          <w:lang w:bidi="ar"/>
        </w:rPr>
        <w:t>将电动车推入电梯轿厢内，在</w:t>
      </w:r>
      <w:r>
        <w:rPr>
          <w:rFonts w:hint="eastAsia" w:ascii="仿宋" w:hAnsi="仿宋" w:eastAsia="仿宋" w:cs="仿宋"/>
          <w:color w:val="auto"/>
          <w:sz w:val="32"/>
          <w:szCs w:val="32"/>
          <w:highlight w:val="none"/>
        </w:rPr>
        <w:t>公共门厅、公共走廊、公共楼梯间</w:t>
      </w:r>
      <w:r>
        <w:rPr>
          <w:rFonts w:hint="eastAsia" w:ascii="仿宋" w:hAnsi="仿宋" w:eastAsia="仿宋"/>
          <w:color w:val="auto"/>
          <w:sz w:val="32"/>
          <w:szCs w:val="32"/>
          <w:highlight w:val="none"/>
          <w:lang w:bidi="ar"/>
        </w:rPr>
        <w:t>内停放电动车及</w:t>
      </w:r>
      <w:r>
        <w:rPr>
          <w:rFonts w:ascii="仿宋" w:hAnsi="仿宋" w:eastAsia="仿宋" w:cs="仿宋"/>
          <w:color w:val="auto"/>
          <w:sz w:val="32"/>
          <w:szCs w:val="32"/>
          <w:highlight w:val="none"/>
        </w:rPr>
        <w:t>私拉电线为电动</w:t>
      </w:r>
      <w:r>
        <w:rPr>
          <w:rFonts w:hint="eastAsia" w:ascii="仿宋" w:hAnsi="仿宋" w:eastAsia="仿宋" w:cs="仿宋"/>
          <w:color w:val="auto"/>
          <w:sz w:val="32"/>
          <w:szCs w:val="32"/>
          <w:highlight w:val="none"/>
        </w:rPr>
        <w:t>车辆</w:t>
      </w:r>
      <w:r>
        <w:rPr>
          <w:rFonts w:ascii="仿宋" w:hAnsi="仿宋" w:eastAsia="仿宋" w:cs="仿宋"/>
          <w:color w:val="auto"/>
          <w:sz w:val="32"/>
          <w:szCs w:val="32"/>
          <w:highlight w:val="none"/>
        </w:rPr>
        <w:t>充电</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（十一）破坏、侵占人民防空设施；</w:t>
      </w:r>
    </w:p>
    <w:p>
      <w:pPr>
        <w:spacing w:line="560" w:lineRule="exact"/>
        <w:ind w:firstLine="640" w:firstLineChars="200"/>
        <w:rPr>
          <w:color w:val="auto"/>
          <w:highlight w:val="none"/>
        </w:rPr>
      </w:pPr>
      <w:r>
        <w:rPr>
          <w:rFonts w:hint="eastAsia" w:ascii="仿宋" w:hAnsi="仿宋" w:eastAsia="仿宋" w:cs="仿宋"/>
          <w:color w:val="auto"/>
          <w:sz w:val="32"/>
          <w:szCs w:val="32"/>
          <w:highlight w:val="none"/>
        </w:rPr>
        <w:t>（十二）</w:t>
      </w:r>
      <w:r>
        <w:rPr>
          <w:rFonts w:hint="eastAsia" w:ascii="仿宋" w:hAnsi="仿宋" w:eastAsia="仿宋" w:cs="仿宋"/>
          <w:b/>
          <w:bCs/>
          <w:color w:val="auto"/>
          <w:sz w:val="32"/>
          <w:szCs w:val="32"/>
          <w:highlight w:val="none"/>
          <w:u w:val="single"/>
          <w:lang w:bidi="ar"/>
        </w:rPr>
        <w:t>煽动、阻扰、破坏业主大会选举工作</w:t>
      </w:r>
      <w:r>
        <w:rPr>
          <w:rFonts w:hint="eastAsia" w:ascii="仿宋" w:hAnsi="仿宋" w:eastAsia="仿宋" w:cs="仿宋"/>
          <w:b/>
          <w:bCs/>
          <w:color w:val="auto"/>
          <w:sz w:val="32"/>
          <w:szCs w:val="32"/>
          <w:highlight w:val="none"/>
          <w:u w:val="single"/>
          <w:lang w:val="en-US" w:eastAsia="zh-CN" w:bidi="ar"/>
        </w:rPr>
        <w:t xml:space="preserve">         </w:t>
      </w:r>
      <w:r>
        <w:rPr>
          <w:rFonts w:hint="eastAsia" w:ascii="仿宋" w:hAnsi="仿宋" w:eastAsia="仿宋" w:cs="仿宋"/>
          <w:b/>
          <w:bCs/>
          <w:color w:val="auto"/>
          <w:sz w:val="32"/>
          <w:szCs w:val="32"/>
          <w:highlight w:val="none"/>
          <w:u w:val="single"/>
          <w:lang w:bidi="ar"/>
        </w:rPr>
        <w:t>；</w:t>
      </w:r>
    </w:p>
    <w:p>
      <w:pPr>
        <w:pStyle w:val="5"/>
        <w:ind w:firstLine="640" w:firstLineChars="200"/>
        <w:rPr>
          <w:color w:val="auto"/>
          <w:highlight w:val="none"/>
        </w:rPr>
      </w:pPr>
      <w:r>
        <w:rPr>
          <w:rFonts w:hint="eastAsia" w:ascii="仿宋" w:hAnsi="仿宋" w:eastAsia="仿宋" w:cs="仿宋"/>
          <w:color w:val="auto"/>
          <w:sz w:val="32"/>
          <w:szCs w:val="32"/>
          <w:highlight w:val="none"/>
          <w:lang w:bidi="ar"/>
        </w:rPr>
        <w:t>（十二）</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 xml:space="preserve"> ；</w:t>
      </w:r>
    </w:p>
    <w:p>
      <w:pPr>
        <w:spacing w:line="56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（十三）法律、法规以及</w:t>
      </w:r>
      <w:r>
        <w:rPr>
          <w:rFonts w:hint="eastAsia" w:ascii="仿宋" w:hAnsi="仿宋" w:eastAsia="仿宋" w:cs="仿宋"/>
          <w:color w:val="auto"/>
          <w:sz w:val="32"/>
          <w:szCs w:val="32"/>
          <w:highlight w:val="none"/>
        </w:rPr>
        <w:t>本</w:t>
      </w:r>
      <w:r>
        <w:rPr>
          <w:rFonts w:ascii="仿宋" w:hAnsi="仿宋" w:eastAsia="仿宋" w:cs="仿宋"/>
          <w:color w:val="auto"/>
          <w:sz w:val="32"/>
          <w:szCs w:val="32"/>
          <w:highlight w:val="none"/>
        </w:rPr>
        <w:t>管理规约禁止的其他行为。</w:t>
      </w:r>
    </w:p>
    <w:p>
      <w:pPr>
        <w:ind w:firstLine="640" w:firstLineChars="200"/>
        <w:rPr>
          <w:rFonts w:ascii="黑体" w:hAnsi="黑体" w:eastAsia="仿宋"/>
          <w:color w:val="auto"/>
          <w:sz w:val="32"/>
          <w:szCs w:val="32"/>
          <w:highlight w:val="none"/>
        </w:rPr>
      </w:pPr>
      <w:r>
        <w:rPr>
          <w:rFonts w:hint="eastAsia" w:ascii="黑体" w:hAnsi="黑体" w:eastAsia="仿宋"/>
          <w:color w:val="auto"/>
          <w:sz w:val="32"/>
          <w:szCs w:val="32"/>
          <w:highlight w:val="none"/>
        </w:rPr>
        <w:t>有前款所列行为之一的，物业服务人应当及时劝阻、制止；劝阻、制止无效的，应当及时报告相关行政主管部门。</w:t>
      </w:r>
    </w:p>
    <w:bookmarkEnd w:id="3"/>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第十三条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业主、物业使用人装饰装修物业专有部分或者进行其他涉及专有部分的安装、维修及高空作业等活动的，应当事先告知物业服务人，并与其签订装饰装修管理服务协议。物业使用人在签订协议时应当同时提供带有业主签字同意装饰装修的书面意见。物业服务人应当将装饰装修的禁止行为和注意事项书面告知业主、物业使用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业主、物业使用人在装饰装修物业时应遵守以下约定：</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（一）应在指定地点放置装饰装修材料及装修垃圾，不得擅自占用物</w:t>
      </w:r>
      <w:r>
        <w:rPr>
          <w:rFonts w:ascii="仿宋" w:hAnsi="仿宋" w:eastAsia="仿宋" w:cs="仿宋"/>
          <w:color w:val="auto"/>
          <w:sz w:val="32"/>
          <w:szCs w:val="32"/>
          <w:highlight w:val="none"/>
        </w:rPr>
        <w:t>业</w:t>
      </w:r>
      <w:r>
        <w:rPr>
          <w:rFonts w:hint="eastAsia" w:ascii="仿宋" w:hAnsi="仿宋" w:eastAsia="仿宋" w:cs="仿宋"/>
          <w:color w:val="auto"/>
          <w:sz w:val="32"/>
          <w:szCs w:val="32"/>
          <w:highlight w:val="none"/>
        </w:rPr>
        <w:t>共用</w:t>
      </w:r>
      <w:r>
        <w:rPr>
          <w:rFonts w:ascii="仿宋" w:hAnsi="仿宋" w:eastAsia="仿宋" w:cs="仿宋"/>
          <w:color w:val="auto"/>
          <w:sz w:val="32"/>
          <w:szCs w:val="32"/>
          <w:highlight w:val="none"/>
        </w:rPr>
        <w:t>部位</w:t>
      </w:r>
      <w:r>
        <w:rPr>
          <w:rFonts w:hint="eastAsia" w:ascii="仿宋" w:hAnsi="仿宋" w:eastAsia="仿宋" w:cs="仿宋"/>
          <w:color w:val="auto"/>
          <w:sz w:val="32"/>
          <w:szCs w:val="32"/>
          <w:highlight w:val="none"/>
        </w:rPr>
        <w:t>和公共场所；</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（二）施工期间应当注意噪音问题，减轻或避免施工过程中对相邻业主、物业使用人的正常生活、学习和工作造成影响；晚间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时至次日上午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时及节假日，不得从事敲、凿、锯、钻等产生噪音的施工，</w:t>
      </w:r>
      <w:r>
        <w:rPr>
          <w:rFonts w:hint="eastAsia" w:ascii="仿宋" w:hAnsi="仿宋" w:eastAsia="仿宋" w:cs="仿宋"/>
          <w:b/>
          <w:bCs/>
          <w:color w:val="auto"/>
          <w:sz w:val="32"/>
          <w:szCs w:val="32"/>
          <w:highlight w:val="none"/>
        </w:rPr>
        <w:t>在初高中学生高考、中考期间内应减少作业时间</w:t>
      </w:r>
      <w:r>
        <w:rPr>
          <w:rFonts w:hint="eastAsia" w:ascii="仿宋" w:hAnsi="仿宋" w:eastAsia="仿宋" w:cs="仿宋"/>
          <w:color w:val="auto"/>
          <w:sz w:val="32"/>
          <w:szCs w:val="32"/>
          <w:highlight w:val="none"/>
        </w:rPr>
        <w:t>；</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（三）未经有关政府部门批准，不得改变物业的功能、结构、外貌和用途，不得增加超出设计规范规定的负荷；</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（四）不得影响物业供电、供水、排水、供气、通讯等使用功能，如有损坏，相关业主、物业使用人应承担相应法律责任；</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（五）因装饰装修房屋影响共用部位、共用设施设备的正常使用或侵害相邻业主合法权益的，应及时恢复原状并承担相应法律责任；</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（六）按规定可以安装防盗网的，应按照统一的标准制作安装，以保持本物业管理区域外观统一；</w:t>
      </w:r>
    </w:p>
    <w:p>
      <w:pPr>
        <w:adjustRightInd w:val="0"/>
        <w:snapToGrid w:val="0"/>
        <w:spacing w:line="560" w:lineRule="exact"/>
        <w:ind w:firstLine="642" w:firstLineChars="200"/>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single"/>
        </w:rPr>
        <w:t>（七）不得</w:t>
      </w:r>
      <w:r>
        <w:rPr>
          <w:rFonts w:ascii="仿宋" w:hAnsi="仿宋" w:eastAsia="仿宋" w:cs="Helvetica"/>
          <w:b/>
          <w:bCs/>
          <w:color w:val="auto"/>
          <w:kern w:val="0"/>
          <w:sz w:val="32"/>
          <w:szCs w:val="32"/>
          <w:highlight w:val="none"/>
          <w:u w:val="single"/>
          <w:lang w:bidi="ar"/>
        </w:rPr>
        <w:t>将没有防水要求的房间或者阳台改为卫生间、厨房间</w:t>
      </w:r>
      <w:bookmarkStart w:id="9" w:name="_GoBack"/>
      <w:bookmarkEnd w:id="9"/>
      <w:r>
        <w:rPr>
          <w:rFonts w:hint="eastAsia" w:ascii="仿宋" w:hAnsi="仿宋" w:eastAsia="仿宋" w:cs="Helvetica"/>
          <w:b/>
          <w:bCs/>
          <w:color w:val="auto"/>
          <w:kern w:val="0"/>
          <w:sz w:val="32"/>
          <w:szCs w:val="32"/>
          <w:highlight w:val="none"/>
          <w:u w:val="single"/>
          <w:lang w:bidi="ar"/>
        </w:rPr>
        <w:t>；</w:t>
      </w:r>
    </w:p>
    <w:p>
      <w:pPr>
        <w:pStyle w:val="5"/>
        <w:ind w:firstLine="642" w:firstLineChars="200"/>
        <w:rPr>
          <w:rFonts w:ascii="仿宋" w:hAnsi="仿宋" w:eastAsia="仿宋"/>
          <w:b/>
          <w:bCs/>
          <w:color w:val="auto"/>
          <w:sz w:val="32"/>
          <w:szCs w:val="32"/>
          <w:highlight w:val="none"/>
          <w:lang w:val="en-US" w:bidi="ar-SA"/>
        </w:rPr>
      </w:pPr>
      <w:r>
        <w:rPr>
          <w:rFonts w:hint="eastAsia" w:ascii="仿宋" w:hAnsi="仿宋" w:eastAsia="仿宋" w:cs="Helvetica"/>
          <w:b/>
          <w:bCs/>
          <w:color w:val="auto"/>
          <w:kern w:val="0"/>
          <w:sz w:val="32"/>
          <w:szCs w:val="32"/>
          <w:highlight w:val="none"/>
          <w:lang w:val="en-US" w:bidi="ar"/>
        </w:rPr>
        <w:t>（八）</w:t>
      </w:r>
      <w:r>
        <w:rPr>
          <w:rFonts w:hint="eastAsia" w:ascii="仿宋" w:hAnsi="仿宋" w:eastAsia="仿宋" w:cs="Helvetica"/>
          <w:b/>
          <w:bCs/>
          <w:color w:val="auto"/>
          <w:kern w:val="0"/>
          <w:sz w:val="32"/>
          <w:szCs w:val="32"/>
          <w:highlight w:val="none"/>
          <w:u w:val="single"/>
          <w:lang w:val="en-US" w:bidi="ar"/>
        </w:rPr>
        <w:t>不得</w:t>
      </w:r>
      <w:r>
        <w:rPr>
          <w:rFonts w:ascii="仿宋" w:hAnsi="仿宋" w:eastAsia="仿宋" w:cs="Helvetica"/>
          <w:b/>
          <w:bCs/>
          <w:color w:val="auto"/>
          <w:kern w:val="0"/>
          <w:sz w:val="32"/>
          <w:szCs w:val="32"/>
          <w:highlight w:val="none"/>
          <w:u w:val="single"/>
          <w:lang w:val="en-US" w:bidi="ar"/>
        </w:rPr>
        <w:t>扩大承重墙上原有的门窗尺寸，拆除连接阳台的砖、混凝土墙体</w:t>
      </w:r>
      <w:r>
        <w:rPr>
          <w:rFonts w:hint="eastAsia" w:ascii="仿宋" w:hAnsi="仿宋" w:eastAsia="仿宋" w:cs="Helvetica"/>
          <w:b/>
          <w:bCs/>
          <w:color w:val="auto"/>
          <w:kern w:val="0"/>
          <w:sz w:val="32"/>
          <w:szCs w:val="32"/>
          <w:highlight w:val="none"/>
          <w:u w:val="single"/>
          <w:lang w:val="en-US" w:bidi="ar"/>
        </w:rPr>
        <w:t>；</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业主、物业使用人在物业使用过程中，应遵守下列约定：</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（一）空调安装：应按设计预留的位置安装空调，未预留设计位置的，应按物业服务人指定的位置安装，并按要求做好噪音及冷凝水的处理。</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（二）电梯使用：安全、规范地使用电梯、扶梯，遵守本物业管理区域的电梯、扶梯使用管理规定。损坏电梯设备的，相关业主、物业使用人应承担相应的赔偿责任。</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（三）车辆停放：本物业管理区域内的车辆行驶和停放，应遵守以下规则：</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1.超过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m高度以上的货车、大型客车以及载有易爆、剧毒、放射性等危险品的车辆禁止进入本物业管理区域；</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2.机动车辆在本物业管理区域内行驶，时速不得超过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公里，禁止鸣笛、练车；</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3.机动车应在规定的车位停放，禁止在消防通道、消防井盖、绿地等场地停放；</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4.按《前期物业服务合同》约定缴纳车位物业费；</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5.未经业主共同决定，禁止擅自在公共停车位上安装任何装置；</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 禁止在用于停放汽车的车位（库）上停放电动摩托车、电动自行车和自行车；</w:t>
      </w:r>
    </w:p>
    <w:p>
      <w:pPr>
        <w:pStyle w:val="5"/>
        <w:ind w:firstLine="640" w:firstLineChars="200"/>
        <w:rPr>
          <w:color w:val="auto"/>
          <w:highlight w:val="none"/>
          <w:lang w:val="en-US" w:bidi="ar-SA"/>
        </w:rPr>
      </w:pPr>
      <w:r>
        <w:rPr>
          <w:rFonts w:hint="eastAsia" w:ascii="仿宋" w:hAnsi="仿宋" w:eastAsia="仿宋" w:cs="仿宋"/>
          <w:color w:val="auto"/>
          <w:sz w:val="32"/>
          <w:szCs w:val="32"/>
          <w:highlight w:val="none"/>
        </w:rPr>
        <w:t>7</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因小区施工需要进入履带式车辆的应做好履带的防护，不得对园区内的道路进行破坏。</w:t>
      </w:r>
    </w:p>
    <w:p>
      <w:pPr>
        <w:spacing w:line="56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（四）休闲娱乐：广场舞时间不应早于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点整或超过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点整，白天音乐声不得超过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分贝，晚上不得超过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分贝；在每年高考和中考前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天或其他特殊时间段，应暂停所有带有音响设备的健身</w:t>
      </w:r>
      <w:bookmarkStart w:id="4" w:name="_Hlk15555565"/>
      <w:r>
        <w:rPr>
          <w:rFonts w:hint="eastAsia" w:ascii="仿宋" w:hAnsi="仿宋" w:eastAsia="仿宋" w:cs="仿宋"/>
          <w:color w:val="auto"/>
          <w:sz w:val="32"/>
          <w:szCs w:val="32"/>
          <w:highlight w:val="none"/>
        </w:rPr>
        <w:t>等休闲娱乐</w:t>
      </w:r>
      <w:bookmarkEnd w:id="4"/>
      <w:r>
        <w:rPr>
          <w:rFonts w:hint="eastAsia" w:ascii="仿宋" w:hAnsi="仿宋" w:eastAsia="仿宋" w:cs="仿宋"/>
          <w:color w:val="auto"/>
          <w:sz w:val="32"/>
          <w:szCs w:val="32"/>
          <w:highlight w:val="none"/>
        </w:rPr>
        <w:t>活动。</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第十五条</w:t>
      </w:r>
      <w:r>
        <w:rPr>
          <w:rFonts w:hint="eastAsia" w:ascii="仿宋" w:hAnsi="仿宋" w:eastAsia="仿宋" w:cs="仿宋"/>
          <w:b/>
          <w:bCs/>
          <w:color w:val="auto"/>
          <w:sz w:val="32"/>
          <w:szCs w:val="32"/>
          <w:highlight w:val="none"/>
        </w:rPr>
        <w:t xml:space="preserve"> </w:t>
      </w:r>
      <w:bookmarkStart w:id="5" w:name="_Hlk15555675"/>
      <w:r>
        <w:rPr>
          <w:rFonts w:hint="eastAsia" w:ascii="仿宋" w:hAnsi="仿宋" w:eastAsia="仿宋" w:cs="仿宋"/>
          <w:color w:val="auto"/>
          <w:sz w:val="32"/>
          <w:szCs w:val="32"/>
          <w:highlight w:val="none"/>
        </w:rPr>
        <w:t>业主、物业使用人在本物业管理区域内饲养动物不得违反法律、法规的规定，并应遵守以下约定：</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（一）履行养犬登记制度，养犬人应当到</w:t>
      </w:r>
      <w:r>
        <w:rPr>
          <w:rFonts w:hint="eastAsia" w:ascii="仿宋" w:hAnsi="仿宋" w:eastAsia="仿宋" w:cs="仿宋"/>
          <w:color w:val="auto"/>
          <w:kern w:val="1"/>
          <w:sz w:val="32"/>
          <w:szCs w:val="32"/>
          <w:highlight w:val="none"/>
        </w:rPr>
        <w:t>本物业所在地</w:t>
      </w:r>
      <w:r>
        <w:rPr>
          <w:rFonts w:hint="eastAsia" w:ascii="仿宋" w:hAnsi="仿宋" w:eastAsia="仿宋" w:cs="仿宋"/>
          <w:color w:val="auto"/>
          <w:sz w:val="32"/>
          <w:szCs w:val="32"/>
          <w:highlight w:val="none"/>
        </w:rPr>
        <w:t>相关政府部门申请养犬登记</w:t>
      </w:r>
      <w:r>
        <w:rPr>
          <w:rFonts w:hint="eastAsia" w:ascii="仿宋" w:hAnsi="仿宋" w:eastAsia="仿宋" w:cs="仿宋"/>
          <w:b/>
          <w:bCs/>
          <w:color w:val="auto"/>
          <w:sz w:val="32"/>
          <w:szCs w:val="32"/>
          <w:highlight w:val="none"/>
        </w:rPr>
        <w:t>和免疫</w:t>
      </w:r>
      <w:r>
        <w:rPr>
          <w:rFonts w:hint="eastAsia" w:ascii="仿宋" w:hAnsi="仿宋" w:eastAsia="仿宋" w:cs="仿宋"/>
          <w:color w:val="auto"/>
          <w:sz w:val="32"/>
          <w:szCs w:val="32"/>
          <w:highlight w:val="none"/>
        </w:rPr>
        <w:t>。未经登记</w:t>
      </w:r>
      <w:r>
        <w:rPr>
          <w:rFonts w:hint="eastAsia" w:ascii="仿宋" w:hAnsi="仿宋" w:eastAsia="仿宋" w:cs="仿宋"/>
          <w:b/>
          <w:bCs/>
          <w:color w:val="auto"/>
          <w:sz w:val="32"/>
          <w:szCs w:val="32"/>
          <w:highlight w:val="none"/>
        </w:rPr>
        <w:t>和免疫</w:t>
      </w:r>
      <w:r>
        <w:rPr>
          <w:rFonts w:hint="eastAsia" w:ascii="仿宋" w:hAnsi="仿宋" w:eastAsia="仿宋" w:cs="仿宋"/>
          <w:color w:val="auto"/>
          <w:sz w:val="32"/>
          <w:szCs w:val="32"/>
          <w:highlight w:val="none"/>
        </w:rPr>
        <w:t>的，任何单位和个人不得擅自饲养犬只；</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（二）不得饲养烈性犬和大型犬；</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（三）不得影响其他业主、物业使用人的正常生活、工作和学习，犬吠影响他人的，养犬人应当采取有效措施予以制止；</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（四）进入共有物业和公共场所应当采取有效措施防止犬只伤人；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（五）应当</w:t>
      </w:r>
      <w:r>
        <w:rPr>
          <w:rFonts w:hint="eastAsia" w:ascii="仿宋" w:hAnsi="仿宋" w:eastAsia="仿宋" w:cs="宋体"/>
          <w:b/>
          <w:bCs/>
          <w:color w:val="auto"/>
          <w:spacing w:val="5"/>
          <w:sz w:val="32"/>
          <w:szCs w:val="32"/>
          <w:highlight w:val="none"/>
          <w:shd w:val="clear" w:color="auto" w:fill="FFFFFF"/>
        </w:rPr>
        <w:t>随身携带清洁用具，</w:t>
      </w:r>
      <w:r>
        <w:rPr>
          <w:rFonts w:hint="eastAsia" w:ascii="仿宋" w:hAnsi="仿宋" w:eastAsia="仿宋" w:cs="仿宋"/>
          <w:color w:val="auto"/>
          <w:sz w:val="32"/>
          <w:szCs w:val="32"/>
          <w:highlight w:val="none"/>
        </w:rPr>
        <w:t>及时处置动物的排泄物，不得影响公共环境的卫生和美观；</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（六）禁止在本物业管理区域内设立犬只养殖、销售场所；</w:t>
      </w:r>
    </w:p>
    <w:p>
      <w:pPr>
        <w:pStyle w:val="10"/>
        <w:widowControl/>
        <w:shd w:val="clear" w:color="auto" w:fill="FFFFFF"/>
        <w:spacing w:beforeAutospacing="0" w:afterAutospacing="0"/>
        <w:ind w:firstLine="640" w:firstLineChars="200"/>
        <w:jc w:val="both"/>
        <w:rPr>
          <w:rFonts w:ascii="仿宋" w:hAnsi="仿宋" w:eastAsia="仿宋" w:cs="宋体"/>
          <w:b/>
          <w:bCs/>
          <w:color w:val="auto"/>
          <w:spacing w:val="5"/>
          <w:sz w:val="32"/>
          <w:szCs w:val="32"/>
          <w:highlight w:val="none"/>
          <w:shd w:val="clear" w:color="auto" w:fill="FFFFFF"/>
        </w:rPr>
      </w:pPr>
      <w:r>
        <w:rPr>
          <w:rFonts w:hint="eastAsia" w:ascii="仿宋" w:hAnsi="仿宋" w:eastAsia="仿宋" w:cs="仿宋"/>
          <w:color w:val="auto"/>
          <w:sz w:val="32"/>
          <w:szCs w:val="32"/>
          <w:highlight w:val="none"/>
        </w:rPr>
        <w:t>（七）</w:t>
      </w:r>
      <w:r>
        <w:rPr>
          <w:rFonts w:hint="eastAsia" w:ascii="仿宋" w:hAnsi="仿宋" w:eastAsia="仿宋" w:cs="宋体"/>
          <w:b/>
          <w:bCs/>
          <w:color w:val="auto"/>
          <w:spacing w:val="5"/>
          <w:sz w:val="32"/>
          <w:szCs w:val="32"/>
          <w:highlight w:val="none"/>
          <w:shd w:val="clear" w:color="auto" w:fill="FFFFFF"/>
        </w:rPr>
        <w:t>给犬只佩戴电子犬牌，束犬绳，犬绳长度不得超过一点五米；</w:t>
      </w:r>
    </w:p>
    <w:p>
      <w:pPr>
        <w:pStyle w:val="10"/>
        <w:widowControl/>
        <w:shd w:val="clear" w:color="auto" w:fill="FFFFFF"/>
        <w:spacing w:beforeAutospacing="0" w:afterAutospacing="0"/>
        <w:ind w:firstLine="662" w:firstLineChars="200"/>
        <w:jc w:val="both"/>
        <w:rPr>
          <w:rFonts w:ascii="仿宋" w:hAnsi="仿宋" w:eastAsia="仿宋" w:cs="宋体"/>
          <w:b/>
          <w:bCs/>
          <w:color w:val="auto"/>
          <w:spacing w:val="5"/>
          <w:sz w:val="32"/>
          <w:szCs w:val="32"/>
          <w:highlight w:val="none"/>
        </w:rPr>
      </w:pPr>
      <w:r>
        <w:rPr>
          <w:rFonts w:hint="eastAsia" w:ascii="仿宋" w:hAnsi="仿宋" w:eastAsia="仿宋" w:cs="宋体"/>
          <w:b/>
          <w:bCs/>
          <w:color w:val="auto"/>
          <w:spacing w:val="5"/>
          <w:sz w:val="32"/>
          <w:szCs w:val="32"/>
          <w:highlight w:val="none"/>
          <w:shd w:val="clear" w:color="auto" w:fill="FFFFFF"/>
        </w:rPr>
        <w:t>（八）在楼道、电梯及人员密集场所，应当采取贴身携带犬只或者收紧犬绳等近身约束犬只的安全措施；</w:t>
      </w:r>
    </w:p>
    <w:p>
      <w:pPr>
        <w:pStyle w:val="10"/>
        <w:widowControl/>
        <w:shd w:val="clear" w:color="auto" w:fill="FFFFFF"/>
        <w:spacing w:beforeAutospacing="0" w:afterAutospacing="0"/>
        <w:ind w:firstLine="662" w:firstLineChars="200"/>
        <w:jc w:val="both"/>
        <w:rPr>
          <w:rFonts w:ascii="仿宋" w:hAnsi="仿宋" w:eastAsia="仿宋" w:cs="宋体"/>
          <w:b/>
          <w:bCs/>
          <w:color w:val="auto"/>
          <w:spacing w:val="5"/>
          <w:sz w:val="32"/>
          <w:szCs w:val="32"/>
          <w:highlight w:val="none"/>
        </w:rPr>
      </w:pPr>
      <w:r>
        <w:rPr>
          <w:rFonts w:hint="eastAsia" w:ascii="仿宋" w:hAnsi="仿宋" w:eastAsia="仿宋" w:cs="宋体"/>
          <w:b/>
          <w:bCs/>
          <w:color w:val="auto"/>
          <w:spacing w:val="5"/>
          <w:sz w:val="32"/>
          <w:szCs w:val="32"/>
          <w:highlight w:val="none"/>
          <w:shd w:val="clear" w:color="auto" w:fill="FFFFFF"/>
        </w:rPr>
        <w:t>（九）主动、及时避让行人；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（十）不</w:t>
      </w:r>
      <w:r>
        <w:rPr>
          <w:rFonts w:ascii="仿宋" w:hAnsi="仿宋" w:eastAsia="仿宋" w:cs="仿宋"/>
          <w:color w:val="auto"/>
          <w:sz w:val="32"/>
          <w:szCs w:val="32"/>
          <w:highlight w:val="none"/>
        </w:rPr>
        <w:t>得饲养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第十六条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本物业管理区域内，业主、物业使用人应当遵守法律、法规关于生活垃圾分类投放的有关规定，禁止乱扔生活垃圾。</w:t>
      </w:r>
    </w:p>
    <w:p>
      <w:pPr>
        <w:adjustRightInd w:val="0"/>
        <w:snapToGrid w:val="0"/>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接受本物业管理区域内生活垃圾分类投放管理责任人的管理。</w:t>
      </w:r>
    </w:p>
    <w:bookmarkEnd w:id="5"/>
    <w:p>
      <w:pPr>
        <w:spacing w:line="560" w:lineRule="exact"/>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第十七条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本物业管理区域内的车位（库），应当首先满足本物业管理区域内业主的停车需要。</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本物业管理区域的车位、车库使用情况按月由物业服务人在物业管理区域内显著位置进行不少于</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日的公示。公示的内容包括可使用车位、车库的总数，车位、车库使用信息等。</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第十八条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业主、物业使用人有上述行为，物业服务人可书面要求业主、物业使用人限期整改。业主、物业使用人应当及时整改，并采取措施，确保出租房屋的使用安全。</w:t>
      </w:r>
    </w:p>
    <w:p>
      <w:pPr>
        <w:numPr>
          <w:ilvl w:val="0"/>
          <w:numId w:val="2"/>
        </w:numPr>
        <w:spacing w:before="156" w:beforeLines="50" w:after="156" w:afterLines="50"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物业的维修养护</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第十九条 业主、物业使用人应当按照下列规定维修、养护物业：</w:t>
      </w:r>
    </w:p>
    <w:p>
      <w:pPr>
        <w:numPr>
          <w:ilvl w:val="0"/>
          <w:numId w:val="4"/>
        </w:num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对物业专有部分的维修、养护，不得侵害其他业主的合法权益；</w:t>
      </w:r>
    </w:p>
    <w:p>
      <w:pPr>
        <w:numPr>
          <w:ilvl w:val="0"/>
          <w:numId w:val="4"/>
        </w:num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因维修养护物业或者公共利益，业主、物业使用人确需临时占用、挖掘道路和场地的，业主、物业使用人应当</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书面告知物业服务人/征得物业服务人同意，并应在约定期限内恢复原状，如造成第三方损失的，应当承担赔偿责任；</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第二十条 物业存在安全隐患，危及公共利益或其他业主合法利益时，责任人应当及时维修；</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第二十一条 因维修养护物业确需进入相关业主物业专有部分时，业主或物业服务人应事先告知相关业主、物业使用人，相关业主、物业使用人应给予必要的配合。</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相关业主、物业使用人阻挠维修、养护造成物业损坏及其他损失的，应负责修复并承担赔偿责任；</w:t>
      </w:r>
    </w:p>
    <w:p>
      <w:pPr>
        <w:pStyle w:val="2"/>
        <w:ind w:firstLine="640" w:firstLineChars="200"/>
        <w:rPr>
          <w:rFonts w:eastAsia="仿宋"/>
          <w:color w:val="auto"/>
          <w:highlight w:val="none"/>
        </w:rPr>
      </w:pPr>
      <w:r>
        <w:rPr>
          <w:rFonts w:hint="eastAsia" w:ascii="仿宋" w:hAnsi="仿宋" w:eastAsia="仿宋" w:cs="仿宋"/>
          <w:color w:val="auto"/>
          <w:szCs w:val="32"/>
          <w:highlight w:val="none"/>
        </w:rPr>
        <w:t>第二十二条 发生危及公共利益或其他业主合法权益的紧急情况，必须及时进入物业专有部分进行维修养护但无法通知相关业主的，物业服务人可以向相邻业主说明情况，在第三方（如所在地居（村）民委员会或派出所或</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）的监督下，进入相关业主的物业专有部分进行维修养护，事后应及时通知相关业主并做好善后工作。</w:t>
      </w:r>
    </w:p>
    <w:p>
      <w:pPr>
        <w:pStyle w:val="2"/>
        <w:ind w:firstLine="0"/>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t>第五章 业主的共同利益</w:t>
      </w:r>
    </w:p>
    <w:p>
      <w:pPr>
        <w:pStyle w:val="2"/>
        <w:ind w:firstLine="640"/>
        <w:rPr>
          <w:rFonts w:ascii="仿宋" w:hAnsi="仿宋" w:eastAsia="仿宋" w:cs="仿宋"/>
          <w:color w:val="auto"/>
          <w:szCs w:val="32"/>
          <w:highlight w:val="none"/>
        </w:rPr>
      </w:pPr>
      <w:r>
        <w:rPr>
          <w:rFonts w:hint="eastAsia" w:ascii="仿宋" w:hAnsi="仿宋" w:eastAsia="仿宋" w:cs="仿宋"/>
          <w:color w:val="auto"/>
          <w:szCs w:val="32"/>
          <w:highlight w:val="none"/>
        </w:rPr>
        <w:t>第二十三条 为维护业主的共同利益，全体业主同意在物业管理活动中授予物业服务人以下权利:</w:t>
      </w:r>
    </w:p>
    <w:p>
      <w:pPr>
        <w:pStyle w:val="2"/>
        <w:numPr>
          <w:ilvl w:val="0"/>
          <w:numId w:val="5"/>
        </w:numPr>
        <w:ind w:firstLine="640"/>
        <w:rPr>
          <w:rFonts w:ascii="仿宋" w:hAnsi="仿宋" w:eastAsia="仿宋" w:cs="仿宋"/>
          <w:color w:val="auto"/>
          <w:szCs w:val="32"/>
          <w:highlight w:val="none"/>
        </w:rPr>
      </w:pPr>
      <w:r>
        <w:rPr>
          <w:rFonts w:hint="eastAsia" w:ascii="仿宋" w:hAnsi="仿宋" w:eastAsia="仿宋" w:cs="仿宋"/>
          <w:color w:val="auto"/>
          <w:szCs w:val="32"/>
          <w:highlight w:val="none"/>
        </w:rPr>
        <w:t>根据本规约配合建设单位制定物业共用部位和共用设施设备的使用、公共秩序和环境卫生的维护等方面的规章制度；</w:t>
      </w:r>
    </w:p>
    <w:p>
      <w:pPr>
        <w:pStyle w:val="2"/>
        <w:numPr>
          <w:ilvl w:val="0"/>
          <w:numId w:val="5"/>
        </w:numPr>
        <w:ind w:firstLine="640"/>
        <w:rPr>
          <w:rFonts w:ascii="仿宋" w:hAnsi="仿宋" w:eastAsia="仿宋" w:cs="仿宋"/>
          <w:color w:val="auto"/>
          <w:szCs w:val="32"/>
          <w:highlight w:val="none"/>
        </w:rPr>
      </w:pPr>
      <w:r>
        <w:rPr>
          <w:rFonts w:hint="eastAsia" w:ascii="仿宋" w:hAnsi="仿宋" w:eastAsia="仿宋" w:cs="仿宋"/>
          <w:color w:val="auto"/>
          <w:szCs w:val="32"/>
          <w:highlight w:val="none"/>
        </w:rPr>
        <w:t>以告知、公示、劝阻、制止、</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等必要措施制止业主、物业使用人违反本规约和物业管理相关法律法规的行为；</w:t>
      </w:r>
    </w:p>
    <w:p>
      <w:pPr>
        <w:pStyle w:val="2"/>
        <w:numPr>
          <w:ilvl w:val="0"/>
          <w:numId w:val="5"/>
        </w:numPr>
        <w:ind w:firstLine="640"/>
        <w:rPr>
          <w:rFonts w:ascii="仿宋" w:hAnsi="仿宋" w:eastAsia="仿宋" w:cs="仿宋"/>
          <w:color w:val="auto"/>
          <w:szCs w:val="32"/>
          <w:highlight w:val="none"/>
          <w:u w:val="singl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 xml:space="preserve"> ；</w:t>
      </w:r>
    </w:p>
    <w:p>
      <w:pPr>
        <w:pStyle w:val="2"/>
        <w:numPr>
          <w:ilvl w:val="0"/>
          <w:numId w:val="5"/>
        </w:numPr>
        <w:ind w:firstLine="640"/>
        <w:rPr>
          <w:rFonts w:ascii="仿宋" w:hAnsi="仿宋" w:eastAsia="仿宋" w:cs="仿宋"/>
          <w:color w:val="auto"/>
          <w:szCs w:val="32"/>
          <w:highlight w:val="none"/>
          <w:u w:val="singl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 xml:space="preserve"> ；</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第二十四条</w:t>
      </w:r>
      <w:r>
        <w:rPr>
          <w:rFonts w:hint="eastAsia" w:ascii="仿宋" w:hAnsi="仿宋" w:eastAsia="仿宋" w:cs="仿宋"/>
          <w:b/>
          <w:bCs/>
          <w:color w:val="auto"/>
          <w:sz w:val="32"/>
          <w:szCs w:val="32"/>
          <w:highlight w:val="none"/>
        </w:rPr>
        <w:t xml:space="preserve"> </w:t>
      </w:r>
      <w:r>
        <w:rPr>
          <w:rFonts w:hint="eastAsia" w:ascii="仿宋" w:hAnsi="仿宋" w:eastAsia="仿宋" w:cs="仿宋"/>
          <w:color w:val="auto"/>
          <w:sz w:val="32"/>
          <w:szCs w:val="32"/>
          <w:highlight w:val="none"/>
        </w:rPr>
        <w:t>利用本物业管理区域共有物业进行经营活动的，应当由全体业主共同决定，</w:t>
      </w:r>
      <w:bookmarkStart w:id="6" w:name="_Hlk15555036"/>
      <w:r>
        <w:rPr>
          <w:rFonts w:hint="eastAsia" w:ascii="仿宋" w:hAnsi="仿宋" w:eastAsia="仿宋" w:cs="仿宋"/>
          <w:color w:val="auto"/>
          <w:sz w:val="32"/>
          <w:szCs w:val="32"/>
          <w:highlight w:val="none"/>
        </w:rPr>
        <w:t>其收益属于全体业主共有，</w:t>
      </w:r>
      <w:r>
        <w:rPr>
          <w:rFonts w:ascii="仿宋" w:hAnsi="仿宋" w:eastAsia="仿宋" w:cs="仿宋"/>
          <w:color w:val="auto"/>
          <w:sz w:val="32"/>
          <w:szCs w:val="32"/>
          <w:highlight w:val="none"/>
        </w:rPr>
        <w:t>主要用于补充</w:t>
      </w:r>
      <w:r>
        <w:rPr>
          <w:rFonts w:hint="eastAsia" w:ascii="仿宋" w:hAnsi="仿宋" w:eastAsia="仿宋" w:cs="仿宋"/>
          <w:color w:val="auto"/>
          <w:sz w:val="32"/>
          <w:szCs w:val="32"/>
          <w:highlight w:val="none"/>
        </w:rPr>
        <w:t>：</w:t>
      </w:r>
      <w:r>
        <w:rPr>
          <w:rFonts w:ascii="仿宋_GB2312" w:hAnsi="仿宋_GB2312" w:eastAsia="仿宋_GB2312"/>
          <w:color w:val="auto"/>
          <w:sz w:val="32"/>
          <w:szCs w:val="32"/>
          <w:highlight w:val="none"/>
          <w:u w:val="single"/>
        </w:rPr>
        <w:t xml:space="preserve">                </w:t>
      </w:r>
      <w:r>
        <w:rPr>
          <w:rFonts w:hint="eastAsia" w:ascii="仿宋" w:hAnsi="仿宋" w:eastAsia="仿宋" w:cs="仿宋"/>
          <w:color w:val="auto"/>
          <w:sz w:val="32"/>
          <w:szCs w:val="32"/>
          <w:highlight w:val="none"/>
        </w:rPr>
        <w:t>（如</w:t>
      </w:r>
      <w:r>
        <w:rPr>
          <w:rFonts w:ascii="仿宋" w:hAnsi="仿宋" w:eastAsia="仿宋" w:cs="仿宋"/>
          <w:color w:val="auto"/>
          <w:sz w:val="32"/>
          <w:szCs w:val="32"/>
          <w:highlight w:val="none"/>
        </w:rPr>
        <w:t>专项</w:t>
      </w:r>
      <w:r>
        <w:rPr>
          <w:rFonts w:hint="eastAsia" w:ascii="仿宋" w:hAnsi="仿宋" w:eastAsia="仿宋" w:cs="仿宋"/>
          <w:color w:val="auto"/>
          <w:sz w:val="32"/>
          <w:szCs w:val="32"/>
          <w:highlight w:val="none"/>
        </w:rPr>
        <w:t>维</w:t>
      </w:r>
      <w:r>
        <w:rPr>
          <w:rFonts w:ascii="仿宋" w:hAnsi="仿宋" w:eastAsia="仿宋" w:cs="仿宋"/>
          <w:color w:val="auto"/>
          <w:sz w:val="32"/>
          <w:szCs w:val="32"/>
          <w:highlight w:val="none"/>
        </w:rPr>
        <w:t>修资金</w:t>
      </w:r>
      <w:r>
        <w:rPr>
          <w:rFonts w:hint="eastAsia" w:ascii="仿宋" w:hAnsi="仿宋" w:eastAsia="仿宋" w:cs="仿宋"/>
          <w:color w:val="auto"/>
          <w:sz w:val="32"/>
          <w:szCs w:val="32"/>
          <w:highlight w:val="none"/>
        </w:rPr>
        <w:t>、物</w:t>
      </w:r>
      <w:r>
        <w:rPr>
          <w:rFonts w:ascii="仿宋" w:hAnsi="仿宋" w:eastAsia="仿宋" w:cs="仿宋"/>
          <w:color w:val="auto"/>
          <w:sz w:val="32"/>
          <w:szCs w:val="32"/>
          <w:highlight w:val="none"/>
        </w:rPr>
        <w:t>业费</w:t>
      </w:r>
      <w:r>
        <w:rPr>
          <w:rFonts w:hint="eastAsia" w:ascii="仿宋" w:hAnsi="仿宋" w:eastAsia="仿宋" w:cs="仿宋"/>
          <w:color w:val="auto"/>
          <w:sz w:val="32"/>
          <w:szCs w:val="32"/>
          <w:highlight w:val="none"/>
        </w:rPr>
        <w:t>、业</w:t>
      </w:r>
      <w:r>
        <w:rPr>
          <w:rFonts w:ascii="仿宋" w:hAnsi="仿宋" w:eastAsia="仿宋" w:cs="仿宋"/>
          <w:color w:val="auto"/>
          <w:sz w:val="32"/>
          <w:szCs w:val="32"/>
          <w:highlight w:val="none"/>
        </w:rPr>
        <w:t>主委员会办公经费</w:t>
      </w:r>
      <w:r>
        <w:rPr>
          <w:rFonts w:hint="eastAsia" w:ascii="仿宋" w:hAnsi="仿宋" w:eastAsia="仿宋" w:cs="仿宋"/>
          <w:color w:val="auto"/>
          <w:sz w:val="32"/>
          <w:szCs w:val="32"/>
          <w:highlight w:val="none"/>
        </w:rPr>
        <w:t>等）。可能损害特定业主就其专有部分享有的合法权益的，</w:t>
      </w:r>
      <w:bookmarkEnd w:id="6"/>
      <w:r>
        <w:rPr>
          <w:rFonts w:hint="eastAsia" w:ascii="仿宋" w:hAnsi="仿宋" w:eastAsia="仿宋" w:cs="仿宋"/>
          <w:color w:val="auto"/>
          <w:sz w:val="32"/>
          <w:szCs w:val="32"/>
          <w:highlight w:val="none"/>
        </w:rPr>
        <w:t>还应当经特定业主同意。</w:t>
      </w:r>
    </w:p>
    <w:p>
      <w:pPr>
        <w:pStyle w:val="2"/>
        <w:ind w:left="640" w:firstLine="0"/>
        <w:rPr>
          <w:rFonts w:ascii="仿宋" w:hAnsi="仿宋" w:eastAsia="仿宋" w:cs="仿宋"/>
          <w:color w:val="auto"/>
          <w:szCs w:val="32"/>
          <w:highlight w:val="none"/>
        </w:rPr>
      </w:pPr>
      <w:bookmarkStart w:id="7" w:name="_Hlk15555049"/>
      <w:r>
        <w:rPr>
          <w:rFonts w:hint="eastAsia" w:ascii="仿宋" w:hAnsi="仿宋" w:eastAsia="仿宋" w:cs="仿宋"/>
          <w:color w:val="auto"/>
          <w:szCs w:val="32"/>
          <w:highlight w:val="none"/>
        </w:rPr>
        <w:t>任何单位和个人</w:t>
      </w:r>
      <w:bookmarkEnd w:id="7"/>
      <w:r>
        <w:rPr>
          <w:rFonts w:hint="eastAsia" w:ascii="仿宋" w:hAnsi="仿宋" w:eastAsia="仿宋" w:cs="仿宋"/>
          <w:color w:val="auto"/>
          <w:szCs w:val="32"/>
          <w:highlight w:val="none"/>
        </w:rPr>
        <w:t>不得擅自处分属于全体业主的共有物业。</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第二十五条 业主应按法律法规的规定和本规约的约定支付物业费、专项维修资金等费用。如经物业服务人督促仍不支付的业主，物业服务人可在本物业管理区域内公示相关业主欠缴情况，并注明欠缴费用的业主房门号及欠费金额；仍不交纳的，物业服务人可以依法向人民法院提起诉讼。</w:t>
      </w:r>
    </w:p>
    <w:p>
      <w:pPr>
        <w:pStyle w:val="2"/>
        <w:ind w:firstLine="0"/>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t>第六章 违约责任</w:t>
      </w:r>
    </w:p>
    <w:p>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第二十六条 本物业管理区域内业主、物业使用人违反本规约的约定，侵害他人合法权益的，业主大会、业主委员会、物业服务人有权要求其改正；业主、物业使用人拒不改正的，应承担以下责任：</w:t>
      </w:r>
    </w:p>
    <w:p>
      <w:pPr>
        <w:pStyle w:val="5"/>
        <w:rPr>
          <w:rFonts w:eastAsia="仿宋"/>
          <w:color w:val="auto"/>
          <w:highlight w:val="none"/>
          <w:lang w:val="en-US"/>
        </w:rPr>
      </w:pPr>
      <w:r>
        <w:rPr>
          <w:rFonts w:hint="eastAsia" w:ascii="仿宋" w:hAnsi="仿宋" w:eastAsia="仿宋" w:cs="仿宋"/>
          <w:bCs/>
          <w:color w:val="auto"/>
          <w:sz w:val="32"/>
          <w:szCs w:val="32"/>
          <w:highlight w:val="none"/>
          <w:lang w:val="en-US"/>
        </w:rPr>
        <w:t xml:space="preserve">    （一）</w:t>
      </w:r>
      <w:r>
        <w:rPr>
          <w:rFonts w:hint="eastAsia" w:ascii="仿宋" w:hAnsi="仿宋" w:eastAsia="仿宋" w:cs="仿宋"/>
          <w:bCs/>
          <w:color w:val="auto"/>
          <w:sz w:val="32"/>
          <w:szCs w:val="32"/>
          <w:highlight w:val="none"/>
        </w:rPr>
        <w:t>损害赔偿；</w:t>
      </w:r>
    </w:p>
    <w:p>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w:t>
      </w:r>
    </w:p>
    <w:p>
      <w:pPr>
        <w:pStyle w:val="5"/>
        <w:ind w:firstLine="640"/>
        <w:rPr>
          <w:rFonts w:ascii="仿宋" w:hAnsi="仿宋" w:eastAsia="仿宋" w:cs="仿宋"/>
          <w:bCs/>
          <w:color w:val="auto"/>
          <w:sz w:val="32"/>
          <w:szCs w:val="32"/>
          <w:highlight w:val="none"/>
          <w:lang w:val="en-US"/>
        </w:rPr>
      </w:pPr>
      <w:r>
        <w:rPr>
          <w:rFonts w:hint="eastAsia" w:ascii="仿宋" w:hAnsi="仿宋" w:eastAsia="仿宋" w:cs="仿宋"/>
          <w:bCs/>
          <w:color w:val="auto"/>
          <w:sz w:val="32"/>
          <w:szCs w:val="32"/>
          <w:highlight w:val="none"/>
          <w:lang w:val="en-US"/>
        </w:rPr>
        <w:t>第二十七条 业主违反本规约关于物业的使用、维护和管理的约定，妨碍物业正常使用或造成物业损害及其他损失的，其他业主和物业服务人可依据本规约向人民法院提起诉讼。</w:t>
      </w:r>
    </w:p>
    <w:p>
      <w:pPr>
        <w:pStyle w:val="5"/>
        <w:ind w:firstLine="640"/>
        <w:rPr>
          <w:rFonts w:ascii="仿宋" w:hAnsi="仿宋" w:eastAsia="仿宋" w:cs="仿宋"/>
          <w:b/>
          <w:bCs/>
          <w:color w:val="auto"/>
          <w:sz w:val="32"/>
          <w:szCs w:val="32"/>
          <w:highlight w:val="none"/>
          <w:lang w:val="en-US"/>
        </w:rPr>
      </w:pPr>
      <w:r>
        <w:rPr>
          <w:rFonts w:hint="eastAsia" w:ascii="仿宋" w:hAnsi="仿宋" w:eastAsia="仿宋" w:cs="仿宋"/>
          <w:bCs/>
          <w:color w:val="auto"/>
          <w:sz w:val="32"/>
          <w:szCs w:val="32"/>
          <w:highlight w:val="none"/>
          <w:lang w:val="en-US"/>
        </w:rPr>
        <w:t>第二十八条 业主违反本规约关于业主共同利益的约定，导致全体业主的共同利益受损的，其他业主和物业服务人可以依据本规约向人民法院提起诉讼。</w:t>
      </w:r>
    </w:p>
    <w:p>
      <w:pPr>
        <w:spacing w:before="156" w:beforeLines="50" w:after="156" w:afterLines="50" w:line="56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第七章 附则</w:t>
      </w:r>
    </w:p>
    <w:p>
      <w:pPr>
        <w:pStyle w:val="16"/>
        <w:shd w:val="clear" w:color="auto" w:fill="FFFFFF"/>
        <w:spacing w:before="0" w:beforeAutospacing="0" w:after="0" w:afterAutospacing="0" w:line="560" w:lineRule="exact"/>
        <w:ind w:firstLine="640" w:firstLineChars="2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第二十九条 业主应当向物业服务人提供联系地址、通讯方式。发生变更的，应当及时向物业服务人提供具体变更信息。如业主不提供或未及时提供变更信息，则物业管理活动中的相关资料投入该户业主信报箱、房屋内或者按原预留联系地址、通讯方式送达的，仍视为有效送达。</w:t>
      </w:r>
    </w:p>
    <w:p>
      <w:pPr>
        <w:adjustRightInd w:val="0"/>
        <w:snapToGrid w:val="0"/>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第三十条</w:t>
      </w:r>
      <w:r>
        <w:rPr>
          <w:rFonts w:hint="eastAsia"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业主、物业使用人在物业使用中产生矛盾时，本着互谅互让的原则处理矛盾纠纷，营造安全、舒适、文明、和谐、美好的工作和生活环境。</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第三十一条 本物业管理区域物业买受人与建设单位签订房地产买卖合同时签署遵守本规约的《承诺书》（详见附件4）。本规约自本物业管理区域的第一个买受人签字后生效，至业主大会制定的本物业管理区域管理规约生效之日终止。</w:t>
      </w:r>
    </w:p>
    <w:p>
      <w:pPr>
        <w:pStyle w:val="2"/>
        <w:ind w:left="0" w:leftChars="0" w:firstLine="0" w:firstLineChars="0"/>
        <w:rPr>
          <w:rFonts w:ascii="仿宋" w:hAnsi="仿宋" w:eastAsia="仿宋" w:cs="仿宋"/>
          <w:color w:val="auto"/>
          <w:sz w:val="32"/>
          <w:szCs w:val="32"/>
          <w:highlight w:val="none"/>
        </w:rPr>
      </w:pPr>
    </w:p>
    <w:p>
      <w:pPr>
        <w:spacing w:line="560" w:lineRule="exact"/>
        <w:ind w:firstLine="642" w:firstLineChars="200"/>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附件：</w:t>
      </w:r>
      <w:r>
        <w:rPr>
          <w:rFonts w:hint="eastAsia" w:ascii="仿宋" w:hAnsi="仿宋" w:eastAsia="仿宋" w:cs="仿宋"/>
          <w:color w:val="auto"/>
          <w:sz w:val="32"/>
          <w:szCs w:val="32"/>
          <w:highlight w:val="none"/>
        </w:rPr>
        <w:t>1.规划平面图</w:t>
      </w:r>
    </w:p>
    <w:p>
      <w:pPr>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2.物业构成明细</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3.共有物业、共用设施设备明细</w:t>
      </w:r>
    </w:p>
    <w:p>
      <w:pPr>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4.承诺书</w:t>
      </w:r>
    </w:p>
    <w:p>
      <w:pPr>
        <w:spacing w:line="560" w:lineRule="exact"/>
        <w:ind w:firstLine="1600" w:firstLineChars="500"/>
        <w:rPr>
          <w:rFonts w:ascii="仿宋" w:hAnsi="仿宋" w:eastAsia="仿宋" w:cs="仿宋"/>
          <w:color w:val="auto"/>
          <w:sz w:val="32"/>
          <w:szCs w:val="32"/>
          <w:highlight w:val="none"/>
        </w:rPr>
      </w:pPr>
    </w:p>
    <w:p>
      <w:pPr>
        <w:spacing w:line="560" w:lineRule="exact"/>
        <w:ind w:firstLine="1600" w:firstLineChars="500"/>
        <w:rPr>
          <w:rFonts w:ascii="仿宋" w:hAnsi="仿宋" w:eastAsia="仿宋" w:cs="仿宋"/>
          <w:color w:val="auto"/>
          <w:sz w:val="32"/>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pStyle w:val="2"/>
        <w:rPr>
          <w:rFonts w:ascii="仿宋" w:hAnsi="仿宋" w:eastAsia="仿宋" w:cs="仿宋"/>
          <w:color w:val="auto"/>
          <w:szCs w:val="32"/>
          <w:highlight w:val="none"/>
        </w:rPr>
      </w:pPr>
    </w:p>
    <w:p>
      <w:pPr>
        <w:spacing w:line="560" w:lineRule="exact"/>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附件1：</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规划平面图</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（粘贴在以下空白处）</w:t>
      </w:r>
    </w:p>
    <w:p>
      <w:pPr>
        <w:jc w:val="center"/>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附件2：</w:t>
      </w:r>
    </w:p>
    <w:p>
      <w:pPr>
        <w:spacing w:after="156" w:afterLines="5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物业构成明细</w:t>
      </w:r>
    </w:p>
    <w:tbl>
      <w:tblPr>
        <w:tblStyle w:val="12"/>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类  型</w:t>
            </w:r>
          </w:p>
        </w:tc>
        <w:tc>
          <w:tcPr>
            <w:tcW w:w="2036"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幢  数</w:t>
            </w:r>
          </w:p>
        </w:tc>
        <w:tc>
          <w:tcPr>
            <w:tcW w:w="216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套（单元）数</w:t>
            </w:r>
          </w:p>
        </w:tc>
        <w:tc>
          <w:tcPr>
            <w:tcW w:w="2066"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建筑面积</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高层住宅</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多层住宅</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别  墅</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商业用房</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工业用房</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办公楼</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车  库</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会  所</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学  校</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幼儿园</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用房</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u w:val="single"/>
              </w:rPr>
            </w:pP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合  计</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备  注</w:t>
            </w:r>
          </w:p>
        </w:tc>
        <w:tc>
          <w:tcPr>
            <w:tcW w:w="2036" w:type="dxa"/>
            <w:vAlign w:val="center"/>
          </w:tcPr>
          <w:p>
            <w:pPr>
              <w:jc w:val="center"/>
              <w:rPr>
                <w:rFonts w:ascii="仿宋" w:hAnsi="仿宋" w:eastAsia="仿宋" w:cs="仿宋"/>
                <w:color w:val="auto"/>
                <w:sz w:val="32"/>
                <w:szCs w:val="32"/>
                <w:highlight w:val="none"/>
              </w:rPr>
            </w:pPr>
          </w:p>
        </w:tc>
        <w:tc>
          <w:tcPr>
            <w:tcW w:w="2161" w:type="dxa"/>
            <w:vAlign w:val="center"/>
          </w:tcPr>
          <w:p>
            <w:pPr>
              <w:jc w:val="center"/>
              <w:rPr>
                <w:rFonts w:ascii="仿宋" w:hAnsi="仿宋" w:eastAsia="仿宋" w:cs="仿宋"/>
                <w:color w:val="auto"/>
                <w:sz w:val="32"/>
                <w:szCs w:val="32"/>
                <w:highlight w:val="none"/>
              </w:rPr>
            </w:pPr>
          </w:p>
        </w:tc>
        <w:tc>
          <w:tcPr>
            <w:tcW w:w="2066" w:type="dxa"/>
            <w:vAlign w:val="center"/>
          </w:tcPr>
          <w:p>
            <w:pPr>
              <w:jc w:val="center"/>
              <w:rPr>
                <w:rFonts w:ascii="仿宋" w:hAnsi="仿宋" w:eastAsia="仿宋" w:cs="仿宋"/>
                <w:color w:val="auto"/>
                <w:sz w:val="32"/>
                <w:szCs w:val="32"/>
                <w:highlight w:val="none"/>
              </w:rPr>
            </w:pPr>
          </w:p>
        </w:tc>
      </w:tr>
    </w:tbl>
    <w:p>
      <w:pPr>
        <w:snapToGrid w:val="0"/>
        <w:rPr>
          <w:rFonts w:ascii="仿宋" w:hAnsi="仿宋" w:eastAsia="仿宋" w:cs="仿宋"/>
          <w:color w:val="auto"/>
          <w:sz w:val="32"/>
          <w:szCs w:val="32"/>
          <w:highlight w:val="none"/>
        </w:rPr>
      </w:pPr>
    </w:p>
    <w:p>
      <w:pPr>
        <w:snapToGrid w:val="0"/>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附件3：</w:t>
      </w:r>
    </w:p>
    <w:p>
      <w:pPr>
        <w:spacing w:after="156" w:afterLines="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共有物业、共用设施设备明细</w:t>
      </w:r>
    </w:p>
    <w:tbl>
      <w:tblPr>
        <w:tblStyle w:val="12"/>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bookmarkStart w:id="8" w:name="_Hlk23424088"/>
            <w:r>
              <w:rPr>
                <w:rFonts w:hint="eastAsia" w:ascii="仿宋" w:hAnsi="仿宋" w:eastAsia="仿宋" w:cs="仿宋"/>
                <w:color w:val="auto"/>
                <w:sz w:val="32"/>
                <w:szCs w:val="32"/>
                <w:highlight w:val="none"/>
              </w:rPr>
              <w:t xml:space="preserve">物业管理区域内房屋建筑本体之外的共用设施设备情况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房屋建筑本体共有部分及本体共用设施设备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auto"/>
                <w:sz w:val="32"/>
                <w:szCs w:val="32"/>
                <w:highlight w:val="non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坐落位置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坐落位置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32"/>
                <w:szCs w:val="32"/>
                <w:highlight w:val="none"/>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物业管理设施设备用房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坐落位置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p>
        </w:tc>
      </w:tr>
      <w:bookmarkEnd w:id="8"/>
    </w:tbl>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附件4：</w:t>
      </w:r>
    </w:p>
    <w:p>
      <w:pPr>
        <w:spacing w:line="560" w:lineRule="exact"/>
        <w:jc w:val="center"/>
        <w:rPr>
          <w:rFonts w:ascii="仿宋" w:hAnsi="仿宋" w:eastAsia="仿宋" w:cs="仿宋"/>
          <w:color w:val="auto"/>
          <w:sz w:val="32"/>
          <w:szCs w:val="32"/>
          <w:highlight w:val="none"/>
        </w:rPr>
      </w:pPr>
    </w:p>
    <w:p>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承诺书</w:t>
      </w:r>
    </w:p>
    <w:p>
      <w:pPr>
        <w:spacing w:line="560" w:lineRule="exact"/>
        <w:rPr>
          <w:rFonts w:ascii="仿宋" w:hAnsi="仿宋" w:eastAsia="仿宋" w:cs="仿宋"/>
          <w:color w:val="auto"/>
          <w:sz w:val="32"/>
          <w:szCs w:val="32"/>
          <w:highlight w:val="none"/>
        </w:rPr>
      </w:pPr>
    </w:p>
    <w:p>
      <w:pPr>
        <w:spacing w:before="157"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本人姓名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，身份证号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，系</w:t>
      </w:r>
    </w:p>
    <w:p>
      <w:pPr>
        <w:spacing w:before="157"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（物业管理区域名称）的买受人。</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为维护本物业管理区域内全体业主的合法权益，本人声明如下：</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一、确认已详细阅读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（建设单位全称）制定《吉林省</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（小区）临时管理规约》； </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二、本人承诺遵守本规约；</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三、本人同意承担违反本规约的相应法律责任。</w:t>
      </w:r>
    </w:p>
    <w:p>
      <w:pPr>
        <w:spacing w:line="560" w:lineRule="exact"/>
        <w:ind w:firstLine="640" w:firstLineChars="200"/>
        <w:rPr>
          <w:rFonts w:ascii="仿宋" w:hAnsi="仿宋" w:eastAsia="仿宋" w:cs="仿宋"/>
          <w:color w:val="auto"/>
          <w:sz w:val="32"/>
          <w:szCs w:val="32"/>
          <w:highlight w:val="none"/>
        </w:rPr>
      </w:pP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承诺人（签章）：</w:t>
      </w:r>
    </w:p>
    <w:p>
      <w:pPr>
        <w:spacing w:line="560" w:lineRule="exact"/>
        <w:ind w:firstLine="640" w:firstLineChars="20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p>
      <w:pPr>
        <w:spacing w:line="560" w:lineRule="exact"/>
        <w:rPr>
          <w:rFonts w:ascii="仿宋" w:hAnsi="仿宋" w:eastAsia="仿宋" w:cs="仿宋"/>
          <w:color w:val="auto"/>
          <w:sz w:val="32"/>
          <w:szCs w:val="32"/>
          <w:highlight w:val="none"/>
        </w:rPr>
      </w:pPr>
    </w:p>
    <w:p>
      <w:pPr>
        <w:spacing w:line="580" w:lineRule="exact"/>
        <w:rPr>
          <w:rFonts w:ascii="仿宋" w:hAnsi="仿宋" w:eastAsia="仿宋" w:cs="仿宋"/>
          <w:color w:val="auto"/>
          <w:sz w:val="32"/>
          <w:szCs w:val="32"/>
          <w:highlight w:val="none"/>
        </w:rPr>
      </w:pPr>
    </w:p>
    <w:sectPr>
      <w:footerReference r:id="rId5" w:type="default"/>
      <w:pgSz w:w="11906" w:h="16838"/>
      <w:pgMar w:top="993" w:right="1416" w:bottom="1135"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NanumBarunGothic"/>
    <w:panose1 w:val="020B0604020202020204"/>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17</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0F65F"/>
    <w:multiLevelType w:val="singleLevel"/>
    <w:tmpl w:val="CEA0F65F"/>
    <w:lvl w:ilvl="0" w:tentative="0">
      <w:start w:val="1"/>
      <w:numFmt w:val="chineseCounting"/>
      <w:suff w:val="nothing"/>
      <w:lvlText w:val="（%1）"/>
      <w:lvlJc w:val="left"/>
      <w:rPr>
        <w:rFonts w:hint="eastAsia"/>
      </w:rPr>
    </w:lvl>
  </w:abstractNum>
  <w:abstractNum w:abstractNumId="1">
    <w:nsid w:val="3374357D"/>
    <w:multiLevelType w:val="singleLevel"/>
    <w:tmpl w:val="3374357D"/>
    <w:lvl w:ilvl="0" w:tentative="0">
      <w:start w:val="1"/>
      <w:numFmt w:val="chineseCounting"/>
      <w:suff w:val="nothing"/>
      <w:lvlText w:val="%1、"/>
      <w:lvlJc w:val="left"/>
      <w:rPr>
        <w:rFonts w:hint="eastAsia"/>
      </w:rPr>
    </w:lvl>
  </w:abstractNum>
  <w:abstractNum w:abstractNumId="2">
    <w:nsid w:val="3ED92056"/>
    <w:multiLevelType w:val="singleLevel"/>
    <w:tmpl w:val="3ED92056"/>
    <w:lvl w:ilvl="0" w:tentative="0">
      <w:start w:val="1"/>
      <w:numFmt w:val="chineseCounting"/>
      <w:suff w:val="space"/>
      <w:lvlText w:val="第%1章"/>
      <w:lvlJc w:val="left"/>
      <w:rPr>
        <w:rFonts w:hint="eastAsia"/>
      </w:rPr>
    </w:lvl>
  </w:abstractNum>
  <w:abstractNum w:abstractNumId="3">
    <w:nsid w:val="5F35FC21"/>
    <w:multiLevelType w:val="singleLevel"/>
    <w:tmpl w:val="5F35FC21"/>
    <w:lvl w:ilvl="0" w:tentative="0">
      <w:start w:val="7"/>
      <w:numFmt w:val="chineseCounting"/>
      <w:suff w:val="nothing"/>
      <w:lvlText w:val="（%1）"/>
      <w:lvlJc w:val="left"/>
      <w:rPr>
        <w:rFonts w:hint="eastAsia"/>
      </w:rPr>
    </w:lvl>
  </w:abstractNum>
  <w:abstractNum w:abstractNumId="4">
    <w:nsid w:val="77883C55"/>
    <w:multiLevelType w:val="singleLevel"/>
    <w:tmpl w:val="77883C5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jYyOTlmM2I2ODA2ODM3OTRiZTMxNzRkMjQxZWQifQ=="/>
  </w:docVars>
  <w:rsids>
    <w:rsidRoot w:val="00B56C07"/>
    <w:rsid w:val="0001059F"/>
    <w:rsid w:val="00016C3F"/>
    <w:rsid w:val="00016F82"/>
    <w:rsid w:val="000214F6"/>
    <w:rsid w:val="00040A66"/>
    <w:rsid w:val="00043079"/>
    <w:rsid w:val="00056667"/>
    <w:rsid w:val="00062BFE"/>
    <w:rsid w:val="0006726A"/>
    <w:rsid w:val="000706A0"/>
    <w:rsid w:val="00075483"/>
    <w:rsid w:val="0007570E"/>
    <w:rsid w:val="00080F92"/>
    <w:rsid w:val="000827C2"/>
    <w:rsid w:val="00086A57"/>
    <w:rsid w:val="000A117C"/>
    <w:rsid w:val="000A3D62"/>
    <w:rsid w:val="000B3735"/>
    <w:rsid w:val="000C030B"/>
    <w:rsid w:val="000C0F64"/>
    <w:rsid w:val="000E3B90"/>
    <w:rsid w:val="000E3F2F"/>
    <w:rsid w:val="000F1B48"/>
    <w:rsid w:val="001163D7"/>
    <w:rsid w:val="00122D43"/>
    <w:rsid w:val="00127980"/>
    <w:rsid w:val="00133592"/>
    <w:rsid w:val="00142320"/>
    <w:rsid w:val="00146401"/>
    <w:rsid w:val="00152810"/>
    <w:rsid w:val="00152E3C"/>
    <w:rsid w:val="001664A0"/>
    <w:rsid w:val="00171507"/>
    <w:rsid w:val="00172A11"/>
    <w:rsid w:val="00181501"/>
    <w:rsid w:val="00192289"/>
    <w:rsid w:val="001939C5"/>
    <w:rsid w:val="001B3C37"/>
    <w:rsid w:val="001B45FF"/>
    <w:rsid w:val="001B572F"/>
    <w:rsid w:val="001C2CA2"/>
    <w:rsid w:val="001D338A"/>
    <w:rsid w:val="001D41CF"/>
    <w:rsid w:val="001D643B"/>
    <w:rsid w:val="001D6813"/>
    <w:rsid w:val="001E112A"/>
    <w:rsid w:val="001E35FF"/>
    <w:rsid w:val="002036C6"/>
    <w:rsid w:val="00206213"/>
    <w:rsid w:val="00207515"/>
    <w:rsid w:val="00216A33"/>
    <w:rsid w:val="00216A78"/>
    <w:rsid w:val="00221799"/>
    <w:rsid w:val="002217F0"/>
    <w:rsid w:val="00225242"/>
    <w:rsid w:val="00241866"/>
    <w:rsid w:val="00246D61"/>
    <w:rsid w:val="002536A3"/>
    <w:rsid w:val="00253D44"/>
    <w:rsid w:val="00261DDD"/>
    <w:rsid w:val="0026685E"/>
    <w:rsid w:val="00272C7F"/>
    <w:rsid w:val="0028705D"/>
    <w:rsid w:val="002937D7"/>
    <w:rsid w:val="00294EE1"/>
    <w:rsid w:val="00295412"/>
    <w:rsid w:val="002B5D1A"/>
    <w:rsid w:val="002C3DD6"/>
    <w:rsid w:val="002C4041"/>
    <w:rsid w:val="002C7181"/>
    <w:rsid w:val="002E203E"/>
    <w:rsid w:val="002F024F"/>
    <w:rsid w:val="002F068B"/>
    <w:rsid w:val="002F5072"/>
    <w:rsid w:val="00300107"/>
    <w:rsid w:val="00301DDB"/>
    <w:rsid w:val="00314124"/>
    <w:rsid w:val="003168A2"/>
    <w:rsid w:val="00324A18"/>
    <w:rsid w:val="003311C1"/>
    <w:rsid w:val="00343496"/>
    <w:rsid w:val="003459D3"/>
    <w:rsid w:val="00347F2F"/>
    <w:rsid w:val="003600F1"/>
    <w:rsid w:val="003612FE"/>
    <w:rsid w:val="003613D3"/>
    <w:rsid w:val="00365050"/>
    <w:rsid w:val="003662D2"/>
    <w:rsid w:val="00373672"/>
    <w:rsid w:val="00375FBF"/>
    <w:rsid w:val="00376640"/>
    <w:rsid w:val="00382A90"/>
    <w:rsid w:val="00383BC6"/>
    <w:rsid w:val="003921A1"/>
    <w:rsid w:val="003A0435"/>
    <w:rsid w:val="003A2854"/>
    <w:rsid w:val="003A6156"/>
    <w:rsid w:val="003B3857"/>
    <w:rsid w:val="003B492A"/>
    <w:rsid w:val="003B5E6E"/>
    <w:rsid w:val="003B69C7"/>
    <w:rsid w:val="003C21D6"/>
    <w:rsid w:val="003C382D"/>
    <w:rsid w:val="003D00E1"/>
    <w:rsid w:val="003D207A"/>
    <w:rsid w:val="00411242"/>
    <w:rsid w:val="004158A7"/>
    <w:rsid w:val="00436F9C"/>
    <w:rsid w:val="00465EDE"/>
    <w:rsid w:val="0047376B"/>
    <w:rsid w:val="004A60F8"/>
    <w:rsid w:val="004B5FF0"/>
    <w:rsid w:val="004D05B0"/>
    <w:rsid w:val="004F33F3"/>
    <w:rsid w:val="004F6A80"/>
    <w:rsid w:val="0051035D"/>
    <w:rsid w:val="005114A4"/>
    <w:rsid w:val="0052305C"/>
    <w:rsid w:val="0052494D"/>
    <w:rsid w:val="00532509"/>
    <w:rsid w:val="00545FF5"/>
    <w:rsid w:val="00555A3B"/>
    <w:rsid w:val="005573FA"/>
    <w:rsid w:val="005665EE"/>
    <w:rsid w:val="00581C71"/>
    <w:rsid w:val="00590E67"/>
    <w:rsid w:val="005946AD"/>
    <w:rsid w:val="00594C0C"/>
    <w:rsid w:val="005A02F9"/>
    <w:rsid w:val="005A569A"/>
    <w:rsid w:val="005C0A62"/>
    <w:rsid w:val="005C52F2"/>
    <w:rsid w:val="005C6608"/>
    <w:rsid w:val="005D2BFD"/>
    <w:rsid w:val="005F2365"/>
    <w:rsid w:val="005F3925"/>
    <w:rsid w:val="006011A3"/>
    <w:rsid w:val="00611071"/>
    <w:rsid w:val="006226C9"/>
    <w:rsid w:val="00626086"/>
    <w:rsid w:val="00626F7E"/>
    <w:rsid w:val="006308AB"/>
    <w:rsid w:val="00632B46"/>
    <w:rsid w:val="006336C6"/>
    <w:rsid w:val="006342B1"/>
    <w:rsid w:val="00641946"/>
    <w:rsid w:val="0065446D"/>
    <w:rsid w:val="0067036E"/>
    <w:rsid w:val="00681E3D"/>
    <w:rsid w:val="00692B74"/>
    <w:rsid w:val="006A1FE8"/>
    <w:rsid w:val="006B2303"/>
    <w:rsid w:val="006B492D"/>
    <w:rsid w:val="006C611B"/>
    <w:rsid w:val="006F141A"/>
    <w:rsid w:val="006F3DB0"/>
    <w:rsid w:val="00702DF3"/>
    <w:rsid w:val="00712695"/>
    <w:rsid w:val="00724E9D"/>
    <w:rsid w:val="00733C71"/>
    <w:rsid w:val="00746FFC"/>
    <w:rsid w:val="00752F58"/>
    <w:rsid w:val="007640E9"/>
    <w:rsid w:val="007668CB"/>
    <w:rsid w:val="00776149"/>
    <w:rsid w:val="00781B85"/>
    <w:rsid w:val="007820A4"/>
    <w:rsid w:val="007A2FC0"/>
    <w:rsid w:val="007A59EB"/>
    <w:rsid w:val="007B6EE7"/>
    <w:rsid w:val="007D3284"/>
    <w:rsid w:val="007E1522"/>
    <w:rsid w:val="007E30F0"/>
    <w:rsid w:val="007E66D6"/>
    <w:rsid w:val="007F0D86"/>
    <w:rsid w:val="007F3AA7"/>
    <w:rsid w:val="00813417"/>
    <w:rsid w:val="0082063C"/>
    <w:rsid w:val="008210FB"/>
    <w:rsid w:val="00825162"/>
    <w:rsid w:val="00830C0D"/>
    <w:rsid w:val="00832776"/>
    <w:rsid w:val="00835628"/>
    <w:rsid w:val="0083611D"/>
    <w:rsid w:val="00841267"/>
    <w:rsid w:val="008633EF"/>
    <w:rsid w:val="00865DD6"/>
    <w:rsid w:val="00873010"/>
    <w:rsid w:val="00881804"/>
    <w:rsid w:val="00887DD9"/>
    <w:rsid w:val="008A5852"/>
    <w:rsid w:val="008B041B"/>
    <w:rsid w:val="008B7DC8"/>
    <w:rsid w:val="008C365E"/>
    <w:rsid w:val="008D5670"/>
    <w:rsid w:val="008D7863"/>
    <w:rsid w:val="008E1CFB"/>
    <w:rsid w:val="008E2C41"/>
    <w:rsid w:val="008F5C22"/>
    <w:rsid w:val="008F659A"/>
    <w:rsid w:val="0090692F"/>
    <w:rsid w:val="00906DBB"/>
    <w:rsid w:val="00917970"/>
    <w:rsid w:val="009308C0"/>
    <w:rsid w:val="0093296D"/>
    <w:rsid w:val="0094412C"/>
    <w:rsid w:val="00946053"/>
    <w:rsid w:val="00947654"/>
    <w:rsid w:val="00952756"/>
    <w:rsid w:val="00952E81"/>
    <w:rsid w:val="00987C7B"/>
    <w:rsid w:val="00991121"/>
    <w:rsid w:val="00991993"/>
    <w:rsid w:val="0099679C"/>
    <w:rsid w:val="00997963"/>
    <w:rsid w:val="009B6FE1"/>
    <w:rsid w:val="009D2A7F"/>
    <w:rsid w:val="009D559D"/>
    <w:rsid w:val="009D5E32"/>
    <w:rsid w:val="009E1BF2"/>
    <w:rsid w:val="009E1F1D"/>
    <w:rsid w:val="009F2AC6"/>
    <w:rsid w:val="00A01D8E"/>
    <w:rsid w:val="00A07B79"/>
    <w:rsid w:val="00A10ACC"/>
    <w:rsid w:val="00A179CF"/>
    <w:rsid w:val="00A41C57"/>
    <w:rsid w:val="00A44663"/>
    <w:rsid w:val="00A45DF7"/>
    <w:rsid w:val="00A60054"/>
    <w:rsid w:val="00A615E5"/>
    <w:rsid w:val="00A619A0"/>
    <w:rsid w:val="00A76E9D"/>
    <w:rsid w:val="00A82751"/>
    <w:rsid w:val="00A834CA"/>
    <w:rsid w:val="00A91615"/>
    <w:rsid w:val="00A919F9"/>
    <w:rsid w:val="00A91C4E"/>
    <w:rsid w:val="00A948A1"/>
    <w:rsid w:val="00AA21F0"/>
    <w:rsid w:val="00AA77B9"/>
    <w:rsid w:val="00AC04DB"/>
    <w:rsid w:val="00AD0615"/>
    <w:rsid w:val="00AD0FFF"/>
    <w:rsid w:val="00AE7C98"/>
    <w:rsid w:val="00B024EE"/>
    <w:rsid w:val="00B02F88"/>
    <w:rsid w:val="00B05F98"/>
    <w:rsid w:val="00B1539D"/>
    <w:rsid w:val="00B15450"/>
    <w:rsid w:val="00B21556"/>
    <w:rsid w:val="00B3718B"/>
    <w:rsid w:val="00B47B98"/>
    <w:rsid w:val="00B50119"/>
    <w:rsid w:val="00B508DD"/>
    <w:rsid w:val="00B56C07"/>
    <w:rsid w:val="00B5701A"/>
    <w:rsid w:val="00B63E84"/>
    <w:rsid w:val="00B743BA"/>
    <w:rsid w:val="00B94952"/>
    <w:rsid w:val="00B97EDA"/>
    <w:rsid w:val="00BC129B"/>
    <w:rsid w:val="00BD0855"/>
    <w:rsid w:val="00BD5776"/>
    <w:rsid w:val="00BD662F"/>
    <w:rsid w:val="00BD6F68"/>
    <w:rsid w:val="00C04324"/>
    <w:rsid w:val="00C05B14"/>
    <w:rsid w:val="00C358A9"/>
    <w:rsid w:val="00C6306D"/>
    <w:rsid w:val="00C63F98"/>
    <w:rsid w:val="00C64352"/>
    <w:rsid w:val="00C64869"/>
    <w:rsid w:val="00C666EE"/>
    <w:rsid w:val="00C70EA1"/>
    <w:rsid w:val="00C857D2"/>
    <w:rsid w:val="00C91495"/>
    <w:rsid w:val="00C93D65"/>
    <w:rsid w:val="00CA15F6"/>
    <w:rsid w:val="00CB202D"/>
    <w:rsid w:val="00CC5F3B"/>
    <w:rsid w:val="00CD14CF"/>
    <w:rsid w:val="00CD38A0"/>
    <w:rsid w:val="00CE3A0B"/>
    <w:rsid w:val="00CE3FBF"/>
    <w:rsid w:val="00CF02B9"/>
    <w:rsid w:val="00CF5E82"/>
    <w:rsid w:val="00D06821"/>
    <w:rsid w:val="00D22737"/>
    <w:rsid w:val="00D30F67"/>
    <w:rsid w:val="00D323E9"/>
    <w:rsid w:val="00D462B2"/>
    <w:rsid w:val="00D466DE"/>
    <w:rsid w:val="00D53E48"/>
    <w:rsid w:val="00D55235"/>
    <w:rsid w:val="00D744C1"/>
    <w:rsid w:val="00D77D3E"/>
    <w:rsid w:val="00D95836"/>
    <w:rsid w:val="00DA05EE"/>
    <w:rsid w:val="00DA3CCD"/>
    <w:rsid w:val="00DC66BE"/>
    <w:rsid w:val="00DD1797"/>
    <w:rsid w:val="00DE6680"/>
    <w:rsid w:val="00DF157A"/>
    <w:rsid w:val="00DF531F"/>
    <w:rsid w:val="00E2537F"/>
    <w:rsid w:val="00E265DE"/>
    <w:rsid w:val="00E31257"/>
    <w:rsid w:val="00E4473A"/>
    <w:rsid w:val="00E61EEA"/>
    <w:rsid w:val="00E67219"/>
    <w:rsid w:val="00E710F6"/>
    <w:rsid w:val="00E722B0"/>
    <w:rsid w:val="00E73AF9"/>
    <w:rsid w:val="00E76A8F"/>
    <w:rsid w:val="00E8175B"/>
    <w:rsid w:val="00E819AF"/>
    <w:rsid w:val="00E856F2"/>
    <w:rsid w:val="00E85C0D"/>
    <w:rsid w:val="00E861E1"/>
    <w:rsid w:val="00EA3302"/>
    <w:rsid w:val="00EA3619"/>
    <w:rsid w:val="00EA43D4"/>
    <w:rsid w:val="00EB11FE"/>
    <w:rsid w:val="00EB45C7"/>
    <w:rsid w:val="00EC7DD2"/>
    <w:rsid w:val="00ED3E31"/>
    <w:rsid w:val="00EF2711"/>
    <w:rsid w:val="00EF341E"/>
    <w:rsid w:val="00F110CD"/>
    <w:rsid w:val="00F17FE0"/>
    <w:rsid w:val="00F22B9F"/>
    <w:rsid w:val="00F24F7D"/>
    <w:rsid w:val="00F259B2"/>
    <w:rsid w:val="00F3000F"/>
    <w:rsid w:val="00F37E3B"/>
    <w:rsid w:val="00F4299A"/>
    <w:rsid w:val="00F53DBF"/>
    <w:rsid w:val="00F81B35"/>
    <w:rsid w:val="00F92B25"/>
    <w:rsid w:val="00F942E9"/>
    <w:rsid w:val="00F95A10"/>
    <w:rsid w:val="00F96EAF"/>
    <w:rsid w:val="00FA726A"/>
    <w:rsid w:val="00FB7D66"/>
    <w:rsid w:val="00FC078C"/>
    <w:rsid w:val="00FC3F07"/>
    <w:rsid w:val="00FC44A9"/>
    <w:rsid w:val="00FD05EA"/>
    <w:rsid w:val="00FE36FF"/>
    <w:rsid w:val="01624936"/>
    <w:rsid w:val="021632DD"/>
    <w:rsid w:val="02CF1530"/>
    <w:rsid w:val="0492009E"/>
    <w:rsid w:val="05756A77"/>
    <w:rsid w:val="0601622D"/>
    <w:rsid w:val="060E1F5E"/>
    <w:rsid w:val="0699531B"/>
    <w:rsid w:val="06A96888"/>
    <w:rsid w:val="07AE2552"/>
    <w:rsid w:val="08111A85"/>
    <w:rsid w:val="09AD3AFD"/>
    <w:rsid w:val="09FF0DE2"/>
    <w:rsid w:val="0A1A2050"/>
    <w:rsid w:val="0B936AA0"/>
    <w:rsid w:val="0C2A31D8"/>
    <w:rsid w:val="0D440161"/>
    <w:rsid w:val="0DAA0B0F"/>
    <w:rsid w:val="0DF45105"/>
    <w:rsid w:val="0FE05EA4"/>
    <w:rsid w:val="10224433"/>
    <w:rsid w:val="104F1012"/>
    <w:rsid w:val="10DF2393"/>
    <w:rsid w:val="11CB5557"/>
    <w:rsid w:val="12412A40"/>
    <w:rsid w:val="12837B88"/>
    <w:rsid w:val="14524F30"/>
    <w:rsid w:val="14CF68C8"/>
    <w:rsid w:val="159247E0"/>
    <w:rsid w:val="16221E97"/>
    <w:rsid w:val="16630929"/>
    <w:rsid w:val="168A2C3C"/>
    <w:rsid w:val="17B44C3D"/>
    <w:rsid w:val="1AA6076C"/>
    <w:rsid w:val="1B612274"/>
    <w:rsid w:val="1B8662D6"/>
    <w:rsid w:val="1C391AF5"/>
    <w:rsid w:val="1DF5385F"/>
    <w:rsid w:val="1E8731BC"/>
    <w:rsid w:val="1FDA217C"/>
    <w:rsid w:val="20685486"/>
    <w:rsid w:val="20E36DAA"/>
    <w:rsid w:val="212134AD"/>
    <w:rsid w:val="22B91F8D"/>
    <w:rsid w:val="22CB64B5"/>
    <w:rsid w:val="23F7701A"/>
    <w:rsid w:val="29F00DA2"/>
    <w:rsid w:val="2AB42A63"/>
    <w:rsid w:val="2B655951"/>
    <w:rsid w:val="2D144073"/>
    <w:rsid w:val="2D3479F8"/>
    <w:rsid w:val="2F8453B5"/>
    <w:rsid w:val="2F9C7A27"/>
    <w:rsid w:val="2FA33C98"/>
    <w:rsid w:val="30263C27"/>
    <w:rsid w:val="303C3ED2"/>
    <w:rsid w:val="3093626A"/>
    <w:rsid w:val="31345468"/>
    <w:rsid w:val="314D6C16"/>
    <w:rsid w:val="31B265A7"/>
    <w:rsid w:val="31FB75C1"/>
    <w:rsid w:val="33D72487"/>
    <w:rsid w:val="33EC6D70"/>
    <w:rsid w:val="358177B6"/>
    <w:rsid w:val="35C00574"/>
    <w:rsid w:val="35DC557B"/>
    <w:rsid w:val="36144063"/>
    <w:rsid w:val="368D27FA"/>
    <w:rsid w:val="36F74681"/>
    <w:rsid w:val="381205FA"/>
    <w:rsid w:val="3A930439"/>
    <w:rsid w:val="3CC90F71"/>
    <w:rsid w:val="3EAC6ED2"/>
    <w:rsid w:val="3EF94AA1"/>
    <w:rsid w:val="40A31B8B"/>
    <w:rsid w:val="42212448"/>
    <w:rsid w:val="42301414"/>
    <w:rsid w:val="430A7D32"/>
    <w:rsid w:val="43D53006"/>
    <w:rsid w:val="44033F85"/>
    <w:rsid w:val="456D09ED"/>
    <w:rsid w:val="45BB5587"/>
    <w:rsid w:val="4654047F"/>
    <w:rsid w:val="46D77762"/>
    <w:rsid w:val="47260F53"/>
    <w:rsid w:val="48184B4F"/>
    <w:rsid w:val="498678B9"/>
    <w:rsid w:val="49D510BD"/>
    <w:rsid w:val="49F922E9"/>
    <w:rsid w:val="4A752BC0"/>
    <w:rsid w:val="4B7D6BEB"/>
    <w:rsid w:val="4B7E341E"/>
    <w:rsid w:val="4E355908"/>
    <w:rsid w:val="4E8E1F60"/>
    <w:rsid w:val="4F5F7F53"/>
    <w:rsid w:val="51BE2E2A"/>
    <w:rsid w:val="539A5624"/>
    <w:rsid w:val="54A8374B"/>
    <w:rsid w:val="54BA5E95"/>
    <w:rsid w:val="55BF2C7E"/>
    <w:rsid w:val="55D853DA"/>
    <w:rsid w:val="56661F62"/>
    <w:rsid w:val="59157D6A"/>
    <w:rsid w:val="592967FC"/>
    <w:rsid w:val="59591A3F"/>
    <w:rsid w:val="5B6650D9"/>
    <w:rsid w:val="5BAC11F6"/>
    <w:rsid w:val="5C14469A"/>
    <w:rsid w:val="5C326ED6"/>
    <w:rsid w:val="5D4E7EF6"/>
    <w:rsid w:val="5E05055D"/>
    <w:rsid w:val="5E740C2B"/>
    <w:rsid w:val="5EA24CFC"/>
    <w:rsid w:val="5F001042"/>
    <w:rsid w:val="5F6C267C"/>
    <w:rsid w:val="5FF20D84"/>
    <w:rsid w:val="61271A4C"/>
    <w:rsid w:val="64170445"/>
    <w:rsid w:val="64942C72"/>
    <w:rsid w:val="64FD7C57"/>
    <w:rsid w:val="66547BD7"/>
    <w:rsid w:val="673779CF"/>
    <w:rsid w:val="687E34B1"/>
    <w:rsid w:val="690E1732"/>
    <w:rsid w:val="6A5B3F98"/>
    <w:rsid w:val="6AD77907"/>
    <w:rsid w:val="6BFE76B7"/>
    <w:rsid w:val="6C2A11E1"/>
    <w:rsid w:val="6C900E84"/>
    <w:rsid w:val="6CBF747B"/>
    <w:rsid w:val="6CC47883"/>
    <w:rsid w:val="6D2805DC"/>
    <w:rsid w:val="6DAA6581"/>
    <w:rsid w:val="6E2C1C1F"/>
    <w:rsid w:val="6ED911B7"/>
    <w:rsid w:val="6EE70D24"/>
    <w:rsid w:val="6FCB52C9"/>
    <w:rsid w:val="70CE2E96"/>
    <w:rsid w:val="71C8685B"/>
    <w:rsid w:val="71CF0BF6"/>
    <w:rsid w:val="72116240"/>
    <w:rsid w:val="728C08AA"/>
    <w:rsid w:val="73A37C50"/>
    <w:rsid w:val="741D66EA"/>
    <w:rsid w:val="74B97DFE"/>
    <w:rsid w:val="74F57D6F"/>
    <w:rsid w:val="75BFACBB"/>
    <w:rsid w:val="776E7C42"/>
    <w:rsid w:val="79FB1019"/>
    <w:rsid w:val="7A2642E5"/>
    <w:rsid w:val="7B0B329F"/>
    <w:rsid w:val="7BC13A98"/>
    <w:rsid w:val="7C1F175E"/>
    <w:rsid w:val="7C642851"/>
    <w:rsid w:val="7DC22DA9"/>
    <w:rsid w:val="7E26628B"/>
    <w:rsid w:val="7E533122"/>
    <w:rsid w:val="7E5B35D2"/>
    <w:rsid w:val="7E930982"/>
    <w:rsid w:val="7F392EFC"/>
    <w:rsid w:val="ADEA10E8"/>
    <w:rsid w:val="FEEF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960"/>
    </w:pPr>
  </w:style>
  <w:style w:type="paragraph" w:styleId="3">
    <w:name w:val="Body Text Indent"/>
    <w:basedOn w:val="1"/>
    <w:qFormat/>
    <w:uiPriority w:val="0"/>
    <w:pPr>
      <w:ind w:firstLine="570"/>
    </w:pPr>
    <w:rPr>
      <w:sz w:val="32"/>
    </w:rPr>
  </w:style>
  <w:style w:type="paragraph" w:styleId="4">
    <w:name w:val="annotation text"/>
    <w:basedOn w:val="1"/>
    <w:link w:val="20"/>
    <w:unhideWhenUsed/>
    <w:qFormat/>
    <w:uiPriority w:val="99"/>
    <w:pPr>
      <w:jc w:val="left"/>
    </w:pPr>
  </w:style>
  <w:style w:type="paragraph" w:styleId="5">
    <w:name w:val="Body Text"/>
    <w:basedOn w:val="1"/>
    <w:qFormat/>
    <w:uiPriority w:val="1"/>
    <w:rPr>
      <w:rFonts w:ascii="宋体" w:hAnsi="宋体" w:cs="宋体"/>
      <w:szCs w:val="21"/>
      <w:lang w:val="zh-CN" w:bidi="zh-CN"/>
    </w:rPr>
  </w:style>
  <w:style w:type="paragraph" w:styleId="6">
    <w:name w:val="Balloon Text"/>
    <w:basedOn w:val="1"/>
    <w:link w:val="19"/>
    <w:unhideWhenUsed/>
    <w:qFormat/>
    <w:uiPriority w:val="99"/>
    <w:pPr>
      <w:spacing w:line="240" w:lineRule="auto"/>
    </w:pPr>
    <w:rPr>
      <w:sz w:val="18"/>
      <w:szCs w:val="18"/>
    </w:rPr>
  </w:style>
  <w:style w:type="paragraph" w:styleId="7">
    <w:name w:val="footer"/>
    <w:basedOn w:val="1"/>
    <w:link w:val="18"/>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footnote text"/>
    <w:basedOn w:val="1"/>
    <w:semiHidden/>
    <w:unhideWhenUsed/>
    <w:qFormat/>
    <w:uiPriority w:val="99"/>
    <w:pPr>
      <w:snapToGrid w:val="0"/>
      <w:jc w:val="left"/>
    </w:pPr>
    <w:rPr>
      <w:sz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annotation subject"/>
    <w:basedOn w:val="4"/>
    <w:next w:val="4"/>
    <w:link w:val="21"/>
    <w:unhideWhenUsed/>
    <w:qFormat/>
    <w:uiPriority w:val="99"/>
    <w:rPr>
      <w:b/>
      <w:bCs/>
    </w:rPr>
  </w:style>
  <w:style w:type="character" w:styleId="14">
    <w:name w:val="annotation reference"/>
    <w:basedOn w:val="13"/>
    <w:unhideWhenUsed/>
    <w:qFormat/>
    <w:uiPriority w:val="99"/>
    <w:rPr>
      <w:sz w:val="21"/>
      <w:szCs w:val="21"/>
    </w:rPr>
  </w:style>
  <w:style w:type="character" w:styleId="15">
    <w:name w:val="footnote reference"/>
    <w:basedOn w:val="13"/>
    <w:semiHidden/>
    <w:unhideWhenUsed/>
    <w:qFormat/>
    <w:uiPriority w:val="99"/>
    <w:rPr>
      <w:vertAlign w:val="superscript"/>
    </w:rPr>
  </w:style>
  <w:style w:type="paragraph" w:customStyle="1" w:styleId="16">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批注框文本 字符"/>
    <w:basedOn w:val="13"/>
    <w:link w:val="6"/>
    <w:semiHidden/>
    <w:qFormat/>
    <w:uiPriority w:val="99"/>
    <w:rPr>
      <w:sz w:val="18"/>
      <w:szCs w:val="18"/>
    </w:rPr>
  </w:style>
  <w:style w:type="character" w:customStyle="1" w:styleId="20">
    <w:name w:val="批注文字 字符"/>
    <w:basedOn w:val="13"/>
    <w:link w:val="4"/>
    <w:semiHidden/>
    <w:qFormat/>
    <w:uiPriority w:val="99"/>
    <w:rPr>
      <w:rFonts w:ascii="Calibri" w:hAnsi="Calibri" w:eastAsia="宋体" w:cs="黑体"/>
      <w:kern w:val="2"/>
      <w:sz w:val="21"/>
      <w:szCs w:val="22"/>
    </w:rPr>
  </w:style>
  <w:style w:type="character" w:customStyle="1" w:styleId="21">
    <w:name w:val="批注主题 字符"/>
    <w:basedOn w:val="20"/>
    <w:link w:val="11"/>
    <w:qFormat/>
    <w:uiPriority w:val="0"/>
    <w:rPr>
      <w:rFonts w:ascii="Calibri" w:hAnsi="Calibri" w:eastAsia="宋体" w:cs="黑体"/>
      <w:kern w:val="2"/>
      <w:sz w:val="21"/>
      <w:szCs w:val="22"/>
    </w:rPr>
  </w:style>
  <w:style w:type="paragraph" w:customStyle="1" w:styleId="22">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6140</Words>
  <Characters>6197</Characters>
  <Lines>55</Lines>
  <Paragraphs>15</Paragraphs>
  <TotalTime>0</TotalTime>
  <ScaleCrop>false</ScaleCrop>
  <LinksUpToDate>false</LinksUpToDate>
  <CharactersWithSpaces>7287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2011-03-21T19:26:00Z</dcterms:created>
  <dc:creator>David</dc:creator>
  <cp:lastModifiedBy>zjt</cp:lastModifiedBy>
  <cp:lastPrinted>2022-08-02T17:18:00Z</cp:lastPrinted>
  <dcterms:modified xsi:type="dcterms:W3CDTF">2022-09-30T13:38:45Z</dcterms:modified>
  <dc:title>深圳市      区     街道     物业管理区域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C3EBEC1F145C4E96A8D16688057BD7E7</vt:lpwstr>
  </property>
</Properties>
</file>