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8FB">
      <w:pPr>
        <w:spacing w:line="540" w:lineRule="exac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</w:p>
    <w:p w:rsidR="00000000" w:rsidRDefault="00D228FB">
      <w:pPr>
        <w:spacing w:line="540" w:lineRule="exac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:rsidR="00000000" w:rsidRDefault="00D228FB">
      <w:pPr>
        <w:pStyle w:val="a5"/>
        <w:widowControl/>
        <w:spacing w:before="0" w:beforeAutospacing="0" w:after="0" w:afterAutospacing="0" w:line="60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</w:p>
    <w:p w:rsidR="00000000" w:rsidRDefault="00D228FB">
      <w:pPr>
        <w:pStyle w:val="a5"/>
        <w:widowControl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吉林省房屋安全鉴定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管理办法</w:t>
      </w:r>
    </w:p>
    <w:p w:rsidR="00000000" w:rsidRDefault="00D228FB">
      <w:pPr>
        <w:pStyle w:val="a5"/>
        <w:widowControl/>
        <w:spacing w:before="0" w:beforeAutospacing="0" w:after="0" w:afterAutospacing="0" w:line="620" w:lineRule="exact"/>
        <w:jc w:val="center"/>
      </w:pPr>
      <w:r>
        <w:rPr>
          <w:color w:val="FFFFFF"/>
        </w:rPr>
        <w:t>关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jc w:val="center"/>
        <w:outlineLvl w:val="1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第一章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总则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196" w:firstLine="627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为规范我</w:t>
      </w:r>
      <w:r>
        <w:rPr>
          <w:rFonts w:ascii="仿宋_GB2312" w:eastAsia="仿宋_GB2312" w:hAnsi="仿宋_GB2312" w:cs="仿宋_GB2312" w:hint="eastAsia"/>
          <w:sz w:val="32"/>
          <w:szCs w:val="32"/>
        </w:rPr>
        <w:t>省房屋安全鉴定活动，加强房屋安全鉴定活动监督管理，维护公共安全，根据《中华人民共和国建筑法》、《建设工程质量管理条例》、《建设工程抗震管理条例》、《建设工程质量检测管理办法》、《城市危险房屋管理规定》等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及部门规章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，结合我省实际，制定本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196" w:firstLine="627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第二条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适用于我省行政区域内既有建筑房屋安全鉴定活动。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房屋安全鉴定活动是指房屋安全鉴定机构接受委托，依据国家有关法律法规和技术标准，对房屋安全状况进行的调查、检测、验算、分析和评定等一系列活动，包括可靠性鉴定、安全性鉴定、危险性鉴定和抗震鉴定等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第三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省住房和城乡建设厅负责全省房屋安全鉴定监督管理工作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向社会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承接房屋安全鉴定的机构名单、法定代表人及联系方式，供房屋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安全责任人选择。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房屋使用安全责任人是指房屋所有权人或其法定委托管理使用者，以及当房屋权属不清或房屋所有权人、历史遗留违法建筑当事人（管理人）下落不明时房屋的实际使用人。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住</w:t>
      </w:r>
      <w:r>
        <w:rPr>
          <w:rFonts w:ascii="仿宋_GB2312" w:eastAsia="仿宋_GB2312" w:hAnsi="仿宋_GB2312" w:cs="仿宋_GB2312" w:hint="eastAsia"/>
          <w:sz w:val="32"/>
          <w:szCs w:val="32"/>
        </w:rPr>
        <w:t>房城乡</w:t>
      </w:r>
      <w:r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主管部门具体负责本行政区域内房屋安全鉴定监督管理工作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。统计本年度具备房屋安全鉴定资格机构名单，上报省住房和城乡建设厅。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="42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第二章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鉴定机构</w:t>
      </w:r>
    </w:p>
    <w:p w:rsidR="00000000" w:rsidRDefault="00D228FB">
      <w:pPr>
        <w:widowControl/>
        <w:spacing w:line="620" w:lineRule="exact"/>
        <w:ind w:firstLineChars="200" w:firstLine="640"/>
        <w:rPr>
          <w:rStyle w:val="a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四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房屋建筑在超过合理使用年限后需要继续使用委</w:t>
      </w:r>
      <w:r>
        <w:rPr>
          <w:rFonts w:ascii="仿宋_GB2312" w:eastAsia="仿宋_GB2312" w:hAnsi="仿宋_GB2312" w:cs="仿宋_GB2312" w:hint="eastAsia"/>
          <w:sz w:val="32"/>
          <w:szCs w:val="32"/>
        </w:rPr>
        <w:t>托鉴定的，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由具有《建设工程勘察设计资质管理规定》规定的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建筑工程设计资质</w:t>
      </w:r>
      <w:r>
        <w:rPr>
          <w:rFonts w:ascii="仿宋_GB2312" w:eastAsia="仿宋_GB2312" w:hAnsi="仿宋_GB2312" w:cs="仿宋_GB2312" w:hint="eastAsia"/>
          <w:sz w:val="32"/>
          <w:szCs w:val="32"/>
        </w:rPr>
        <w:t>的单位承担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228FB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其他类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，除具有建筑工程设计资质的单位外，也可由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同时具有《建设工程质量检测机构资质标准》规定的地基基础、建筑材料及构配件、主体结构、钢结构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个专项资质的工程质量检测机构承担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；或获得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ISO/IEC17020 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CNAS</w:t>
      </w:r>
      <w:r>
        <w:rPr>
          <w:rFonts w:ascii="仿宋_GB2312" w:eastAsia="仿宋_GB2312" w:hAnsi="仿宋_GB2312" w:cs="仿宋_GB2312" w:hint="eastAsia"/>
          <w:sz w:val="32"/>
          <w:szCs w:val="32"/>
        </w:rPr>
        <w:t>”检验机构能力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认可证书，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具有相应结构评价资格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的工程质量检测机构承担；或市、县人民政府依据《城市危险房屋管理规定》设立的房屋安全鉴定机构承担。</w:t>
      </w:r>
    </w:p>
    <w:p w:rsidR="00000000" w:rsidRDefault="00D228FB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外埠建筑安全鉴定机构参与鉴定活动的，应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按照《吉林省住房</w:t>
      </w:r>
      <w:r>
        <w:rPr>
          <w:rFonts w:ascii="仿宋_GB2312" w:eastAsia="仿宋_GB2312" w:hAnsi="仿宋_GB2312" w:cs="仿宋_GB2312" w:hint="eastAsia"/>
          <w:sz w:val="32"/>
          <w:szCs w:val="32"/>
        </w:rPr>
        <w:t>和城乡建设厅关于优化入吉建筑企业信息登记管理的通知》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吉建办〔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32</w:t>
      </w:r>
      <w:r>
        <w:rPr>
          <w:rFonts w:ascii="仿宋_GB2312" w:eastAsia="仿宋_GB2312" w:hAnsi="仿宋_GB2312" w:cs="仿宋_GB2312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办理入吉信息登记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228FB">
      <w:pPr>
        <w:widowControl/>
        <w:spacing w:line="620" w:lineRule="exact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</w:p>
    <w:p w:rsidR="00000000" w:rsidRDefault="00D228FB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lastRenderedPageBreak/>
        <w:t>第五条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鉴定需进行工程检测的，应委托《建设工程质量检测管理办法》规定的具有相应资质的工程质量检测机构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六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房屋安全鉴定机构的专业技术人员应当具备下列条件：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（一）技术负责人年龄不超过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周岁，具有土木工程类专业高级及以上技术职称，且从事房屋安全鉴定或者结构设计工作经历不少于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）报告审核人年龄不超过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周岁，具有土木工程类专业高级及以上技术职称，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涉及建筑基础的，还应具有注册岩土工程师资格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且从事房屋安全鉴定或者结构设计工作经历不少于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）鉴定项目负责人，具有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土木工程专业高级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技术职称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一级注册结构工程师资格，且从事房屋安全鉴定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年或者结构设计工作经历不少于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）法律、法规规定的其他条件。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="42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第三章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鉴定委托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七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房屋安全鉴定由房屋使用安全责任人委托房屋安全鉴定机构进行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并签订房屋安全鉴定合同，明确双方的权利</w:t>
      </w:r>
      <w:r>
        <w:rPr>
          <w:rFonts w:ascii="仿宋_GB2312" w:eastAsia="仿宋_GB2312" w:hAnsi="仿宋_GB2312" w:cs="仿宋_GB2312" w:hint="eastAsia"/>
          <w:sz w:val="32"/>
          <w:szCs w:val="32"/>
        </w:rPr>
        <w:t>与义务。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八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房屋出现下列情况下应委托鉴定：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达到合理使用年限或设计工作年限需要继续使用；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）房屋明显倾斜、变形，或房屋基础、梁、柱、楼板、承重墙、</w:t>
      </w: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sz w:val="32"/>
          <w:szCs w:val="32"/>
        </w:rPr>
        <w:t>充墙</w:t>
      </w:r>
      <w:r>
        <w:rPr>
          <w:rFonts w:ascii="仿宋_GB2312" w:eastAsia="仿宋_GB2312" w:hAnsi="仿宋_GB2312" w:cs="仿宋_GB2312" w:hint="eastAsia"/>
          <w:sz w:val="32"/>
          <w:szCs w:val="32"/>
        </w:rPr>
        <w:t>等建筑主体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承重结构发生明显结构裂缝、变形、</w:t>
      </w:r>
      <w:r>
        <w:rPr>
          <w:rFonts w:ascii="仿宋_GB2312" w:eastAsia="仿宋_GB2312" w:hAnsi="仿宋_GB2312" w:cs="仿宋_GB2312" w:hint="eastAsia"/>
          <w:sz w:val="32"/>
          <w:szCs w:val="32"/>
        </w:rPr>
        <w:t>剥落、</w:t>
      </w:r>
      <w:r>
        <w:rPr>
          <w:rFonts w:ascii="仿宋_GB2312" w:eastAsia="仿宋_GB2312" w:hAnsi="仿宋_GB2312" w:cs="仿宋_GB2312" w:hint="eastAsia"/>
          <w:sz w:val="32"/>
          <w:szCs w:val="32"/>
        </w:rPr>
        <w:t>腐蚀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教育用房、医疗卫生用房、文化场馆、体育场馆、养老服务用房、交通站场、商场等公共建筑在安全排查中发现安全隐患的；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）设计图纸未标明设计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年限或者设计图纸灭失的房屋实际使用年限满三十年需要继续使用；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改建、扩建、移位以及建筑用途或使用环境改变前；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遭受灾害或事故后；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存在较严重的质量缺陷或损伤、疲劳变形、振动影响、毗邻工程施工影响；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日常使用中发现安全隐患；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有进行质量评价需求；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（十）法律法规规定的其他情况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trike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九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房屋使用安全责任人应当为鉴定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提供必要的作业条件，配合鉴定机构开展必要的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lastRenderedPageBreak/>
        <w:t>第十条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 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房屋安全责任人违反本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条规定，不委托房屋安全鉴定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造成严重后果的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，按国家有关法律法规规定处理。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第四章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鉴定活动</w:t>
      </w:r>
    </w:p>
    <w:p w:rsidR="00000000" w:rsidRDefault="00D228FB">
      <w:pPr>
        <w:pStyle w:val="a5"/>
        <w:widowControl/>
        <w:spacing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一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房屋安全鉴定应当按照下列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开展工作：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</w:p>
    <w:p w:rsidR="00000000" w:rsidRDefault="00D228FB">
      <w:pPr>
        <w:widowControl/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层及以下农村住房的安全性鉴定，按照《农村住房安全性鉴定技术导则》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建村函〔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其余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建筑的鉴定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《既有建筑鉴定与加固通用规范》</w:t>
      </w:r>
      <w:r>
        <w:rPr>
          <w:rFonts w:ascii="仿宋_GB2312" w:eastAsia="仿宋_GB2312" w:hAnsi="仿宋_GB2312" w:cs="仿宋_GB2312" w:hint="eastAsia"/>
          <w:sz w:val="32"/>
          <w:szCs w:val="32"/>
        </w:rPr>
        <w:t>GB55021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、《民用建筑可靠性鉴定标准》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GB50292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建筑可靠性鉴定标准》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GB50144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、《建筑抗震鉴定标准》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GB50023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、《房屋结构安全性与抗震鉴定标准》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DB22/T5096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（三）对有明显危险构件或整体危险迹象的房屋，可以依据《危险房屋鉴定标准》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JGJ125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进行危险性鉴定，其中，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层及以下农村住房也可以依据《农村住房危险性鉴定标准》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JGJ/T363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进行危险性鉴定。危险性鉴定结论为非危险房屋的不得作为判定房屋结构安全的依据。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二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鉴定机构接受鉴定委托后，应根据委托要求，确定房屋安全鉴定的内容和范围，制定鉴定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方案，做好调查、检测、验</w:t>
      </w:r>
      <w:r>
        <w:rPr>
          <w:rFonts w:ascii="仿宋_GB2312" w:eastAsia="仿宋_GB2312" w:hAnsi="仿宋_GB2312" w:cs="仿宋_GB2312" w:hint="eastAsia"/>
          <w:sz w:val="32"/>
          <w:szCs w:val="32"/>
        </w:rPr>
        <w:t>算、分析和评定等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，出具鉴定报告。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lastRenderedPageBreak/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三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房屋安全鉴定报告应由鉴定项目负责人编制，由一级注册结构工程师签章，涉及地基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专项鉴定内容的，应当同时由注册岩土工程师签章。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四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房屋安全鉴定现场检查检测，必须有两名以上鉴定人员参加。对特殊复杂的鉴定项目，鉴定机构可组织专家论证。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五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经鉴定为危险房屋的，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报告中应明确应急措施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小时内书面通知委托人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委托人应立即采取安全措施并报房屋所在地街道（乡镇）和县级住房和城乡建设主管部门，接到报告后应按规定开展相关工作。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对房屋安全鉴定机构的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鉴定结论有异议的，鉴定委托人或者利害关系人可以重新委托，或由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专业协会组织专家判定。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七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房屋安全鉴定机构应及时将房屋安全鉴定报告上传房屋所在地的《全国房屋建筑和市政设施调查数据系统》。</w:t>
      </w: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第五章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监督管理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八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各级住</w:t>
      </w:r>
      <w:r>
        <w:rPr>
          <w:rFonts w:ascii="仿宋_GB2312" w:eastAsia="仿宋_GB2312" w:hAnsi="仿宋_GB2312" w:cs="仿宋_GB2312" w:hint="eastAsia"/>
          <w:sz w:val="32"/>
          <w:szCs w:val="32"/>
        </w:rPr>
        <w:t>房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城乡建设主管部门应当加强对房屋安全鉴定机构的监督检查，对鉴定机构出具的本地区房屋的鉴定报告进行随机抽查和现场核查，鉴定机构应当配合。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lastRenderedPageBreak/>
        <w:t>第十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九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应加强鉴定机构名单的动态管理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鉴定机构存在以下情形之一的，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由省住房和城乡建设厅</w:t>
      </w:r>
      <w:r>
        <w:rPr>
          <w:rFonts w:ascii="仿宋_GB2312" w:eastAsia="仿宋_GB2312" w:hAnsi="仿宋_GB2312" w:cs="仿宋_GB2312" w:hint="eastAsia"/>
          <w:sz w:val="32"/>
          <w:szCs w:val="32"/>
        </w:rPr>
        <w:t>移出鉴定机构名单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并依法依规处理。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（一）不符合本</w:t>
      </w:r>
      <w:r>
        <w:rPr>
          <w:rFonts w:ascii="仿宋_GB2312" w:eastAsia="仿宋_GB2312" w:hAnsi="仿宋_GB2312" w:cs="仿宋_GB2312" w:hint="eastAsia"/>
          <w:sz w:val="32"/>
          <w:szCs w:val="32"/>
        </w:rPr>
        <w:t>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条规定的条件；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（二）鉴定活动弄虚作假；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（三）鉴定工作失误造成严重后果；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（四）允许其他单位或个人以本单位名义承揽鉴定业务或转包鉴定业务；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（五）鉴定活动存在其他违法违规行为被行政处罚的。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228FB">
      <w:pPr>
        <w:pStyle w:val="a5"/>
        <w:widowControl/>
        <w:spacing w:beforeAutospacing="0" w:after="0" w:afterAutospacing="0" w:line="620" w:lineRule="exact"/>
        <w:jc w:val="center"/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第六章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附则</w:t>
      </w:r>
    </w:p>
    <w:p w:rsidR="00000000" w:rsidRDefault="00D228FB">
      <w:pPr>
        <w:pStyle w:val="a5"/>
        <w:widowControl/>
        <w:spacing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第二十条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由省住房和城乡建设厅负责解释。各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、县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住房城乡建设主管部门可根据本地实际制定实施细则。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6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第二十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一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条</w:t>
      </w:r>
      <w:r>
        <w:rPr>
          <w:rStyle w:val="a6"/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 xml:space="preserve">  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日起施行。</w:t>
      </w:r>
    </w:p>
    <w:p w:rsidR="00000000" w:rsidRDefault="00D228FB">
      <w:pPr>
        <w:pStyle w:val="a5"/>
        <w:widowControl/>
        <w:snapToGrid w:val="0"/>
        <w:spacing w:before="0" w:beforeAutospacing="0" w:after="0" w:afterAutospacing="0" w:line="560" w:lineRule="exact"/>
        <w:ind w:firstLine="420"/>
        <w:outlineLvl w:val="1"/>
        <w:rPr>
          <w:sz w:val="25"/>
          <w:szCs w:val="25"/>
        </w:rPr>
      </w:pPr>
    </w:p>
    <w:p w:rsidR="00D228FB" w:rsidRDefault="00D228FB">
      <w:pPr>
        <w:pStyle w:val="a5"/>
        <w:widowControl/>
        <w:snapToGrid w:val="0"/>
        <w:spacing w:before="0" w:beforeAutospacing="0" w:after="0" w:afterAutospacing="0" w:line="560" w:lineRule="exact"/>
        <w:ind w:firstLine="420"/>
        <w:outlineLvl w:val="1"/>
      </w:pPr>
    </w:p>
    <w:sectPr w:rsidR="00D228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C5F"/>
    <w:rsid w:val="00014D6F"/>
    <w:rsid w:val="000446E4"/>
    <w:rsid w:val="00050C91"/>
    <w:rsid w:val="000A1A39"/>
    <w:rsid w:val="000A5DC0"/>
    <w:rsid w:val="000B37A9"/>
    <w:rsid w:val="001252E6"/>
    <w:rsid w:val="00130C74"/>
    <w:rsid w:val="001616BF"/>
    <w:rsid w:val="00186F86"/>
    <w:rsid w:val="001A2968"/>
    <w:rsid w:val="001F0082"/>
    <w:rsid w:val="00247A10"/>
    <w:rsid w:val="00270095"/>
    <w:rsid w:val="0028294B"/>
    <w:rsid w:val="0029165F"/>
    <w:rsid w:val="002A691D"/>
    <w:rsid w:val="002B7BC1"/>
    <w:rsid w:val="002D7DD9"/>
    <w:rsid w:val="00302378"/>
    <w:rsid w:val="0031079F"/>
    <w:rsid w:val="00356CB0"/>
    <w:rsid w:val="0037143A"/>
    <w:rsid w:val="00383B1D"/>
    <w:rsid w:val="00392E27"/>
    <w:rsid w:val="003964AA"/>
    <w:rsid w:val="003B6997"/>
    <w:rsid w:val="003D2A38"/>
    <w:rsid w:val="003E5585"/>
    <w:rsid w:val="003F1E32"/>
    <w:rsid w:val="003F3FBF"/>
    <w:rsid w:val="003F4DC1"/>
    <w:rsid w:val="003F6FA8"/>
    <w:rsid w:val="003F70FA"/>
    <w:rsid w:val="004075AD"/>
    <w:rsid w:val="0042461F"/>
    <w:rsid w:val="004A0348"/>
    <w:rsid w:val="0051626A"/>
    <w:rsid w:val="00557058"/>
    <w:rsid w:val="00573B41"/>
    <w:rsid w:val="00573D5A"/>
    <w:rsid w:val="005861D0"/>
    <w:rsid w:val="005A726D"/>
    <w:rsid w:val="005D24F3"/>
    <w:rsid w:val="00617004"/>
    <w:rsid w:val="006217E7"/>
    <w:rsid w:val="00646D56"/>
    <w:rsid w:val="00650A5A"/>
    <w:rsid w:val="00665D4C"/>
    <w:rsid w:val="00681DCC"/>
    <w:rsid w:val="006857E4"/>
    <w:rsid w:val="00701BC2"/>
    <w:rsid w:val="00712FA7"/>
    <w:rsid w:val="007214B4"/>
    <w:rsid w:val="007568AF"/>
    <w:rsid w:val="007737A0"/>
    <w:rsid w:val="007C742A"/>
    <w:rsid w:val="00804878"/>
    <w:rsid w:val="00814E34"/>
    <w:rsid w:val="0084299F"/>
    <w:rsid w:val="00843070"/>
    <w:rsid w:val="008528CE"/>
    <w:rsid w:val="00870AA2"/>
    <w:rsid w:val="00872F55"/>
    <w:rsid w:val="00897965"/>
    <w:rsid w:val="008B054C"/>
    <w:rsid w:val="008B4E9E"/>
    <w:rsid w:val="008F3CDD"/>
    <w:rsid w:val="0094755D"/>
    <w:rsid w:val="009568AB"/>
    <w:rsid w:val="00960EC5"/>
    <w:rsid w:val="009A15A6"/>
    <w:rsid w:val="009C7CE1"/>
    <w:rsid w:val="009F6B6B"/>
    <w:rsid w:val="00A4450A"/>
    <w:rsid w:val="00A62199"/>
    <w:rsid w:val="00A6560E"/>
    <w:rsid w:val="00A83DA9"/>
    <w:rsid w:val="00A86C5F"/>
    <w:rsid w:val="00AA37C6"/>
    <w:rsid w:val="00AD68D7"/>
    <w:rsid w:val="00AF78C5"/>
    <w:rsid w:val="00B50B58"/>
    <w:rsid w:val="00B650FE"/>
    <w:rsid w:val="00C06FC2"/>
    <w:rsid w:val="00C55C18"/>
    <w:rsid w:val="00CC6DCF"/>
    <w:rsid w:val="00CD5335"/>
    <w:rsid w:val="00CE12FB"/>
    <w:rsid w:val="00CE1CDC"/>
    <w:rsid w:val="00D20664"/>
    <w:rsid w:val="00D228FB"/>
    <w:rsid w:val="00D306C0"/>
    <w:rsid w:val="00D33F20"/>
    <w:rsid w:val="00D82988"/>
    <w:rsid w:val="00D90542"/>
    <w:rsid w:val="00DA39C8"/>
    <w:rsid w:val="00DB2ABE"/>
    <w:rsid w:val="00DC5FDD"/>
    <w:rsid w:val="00DE077D"/>
    <w:rsid w:val="00E03E44"/>
    <w:rsid w:val="00E16494"/>
    <w:rsid w:val="00E5710C"/>
    <w:rsid w:val="00E64BFA"/>
    <w:rsid w:val="00E702E0"/>
    <w:rsid w:val="00E71996"/>
    <w:rsid w:val="00E7728C"/>
    <w:rsid w:val="00E97AFD"/>
    <w:rsid w:val="00F10AA9"/>
    <w:rsid w:val="00F259D4"/>
    <w:rsid w:val="00F3714C"/>
    <w:rsid w:val="00F40C2F"/>
    <w:rsid w:val="00F45D7E"/>
    <w:rsid w:val="00F5449D"/>
    <w:rsid w:val="00F8649C"/>
    <w:rsid w:val="00FA20E6"/>
    <w:rsid w:val="00FB358A"/>
    <w:rsid w:val="035C6062"/>
    <w:rsid w:val="04083893"/>
    <w:rsid w:val="0545759B"/>
    <w:rsid w:val="065A1249"/>
    <w:rsid w:val="0CFB58CF"/>
    <w:rsid w:val="134D38E1"/>
    <w:rsid w:val="13B44A8A"/>
    <w:rsid w:val="15D54412"/>
    <w:rsid w:val="19392A51"/>
    <w:rsid w:val="1A967514"/>
    <w:rsid w:val="1E3A4C43"/>
    <w:rsid w:val="1FB43251"/>
    <w:rsid w:val="1FB447DF"/>
    <w:rsid w:val="22DF6260"/>
    <w:rsid w:val="242332EA"/>
    <w:rsid w:val="26FB710F"/>
    <w:rsid w:val="27A02EA3"/>
    <w:rsid w:val="2BA14D84"/>
    <w:rsid w:val="2C3721D4"/>
    <w:rsid w:val="2ED51684"/>
    <w:rsid w:val="309F63EE"/>
    <w:rsid w:val="31E51A96"/>
    <w:rsid w:val="35B73253"/>
    <w:rsid w:val="36E92BF7"/>
    <w:rsid w:val="38E133A3"/>
    <w:rsid w:val="3914549F"/>
    <w:rsid w:val="3A83468A"/>
    <w:rsid w:val="3AE1543B"/>
    <w:rsid w:val="3D0929B2"/>
    <w:rsid w:val="3D2B62FD"/>
    <w:rsid w:val="3FBF86CE"/>
    <w:rsid w:val="3FD79EAD"/>
    <w:rsid w:val="445C47A6"/>
    <w:rsid w:val="44810396"/>
    <w:rsid w:val="48FF0D0B"/>
    <w:rsid w:val="4EB456D4"/>
    <w:rsid w:val="4FDE0DB9"/>
    <w:rsid w:val="50461311"/>
    <w:rsid w:val="52462715"/>
    <w:rsid w:val="5DB821E5"/>
    <w:rsid w:val="5EB56C59"/>
    <w:rsid w:val="61CE06F2"/>
    <w:rsid w:val="655A40B6"/>
    <w:rsid w:val="66DB1226"/>
    <w:rsid w:val="66F522D0"/>
    <w:rsid w:val="675F654B"/>
    <w:rsid w:val="68472223"/>
    <w:rsid w:val="69B8584F"/>
    <w:rsid w:val="6F7D44DE"/>
    <w:rsid w:val="6FBFDF7C"/>
    <w:rsid w:val="76397D18"/>
    <w:rsid w:val="790240B5"/>
    <w:rsid w:val="7CAB4D9F"/>
    <w:rsid w:val="7D738337"/>
    <w:rsid w:val="7E5EDCAF"/>
    <w:rsid w:val="7E8D29AE"/>
    <w:rsid w:val="96FDD92F"/>
    <w:rsid w:val="CDF7138B"/>
    <w:rsid w:val="D2EB04C4"/>
    <w:rsid w:val="EFBDC08C"/>
    <w:rsid w:val="F9F7DA9F"/>
    <w:rsid w:val="FDF761D6"/>
    <w:rsid w:val="FFE7C971"/>
    <w:rsid w:val="FFFB8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2025-02-10T06:02:00Z</cp:lastPrinted>
  <dcterms:created xsi:type="dcterms:W3CDTF">2025-02-11T06:22:00Z</dcterms:created>
  <dcterms:modified xsi:type="dcterms:W3CDTF">2025-02-11T06:22:00Z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8A21CC51032C4FB89CDF93F37F9E1EFB_13</vt:lpwstr>
  </property>
  <property fmtid="{D5CDD505-2E9C-101B-9397-08002B2CF9AE}" pid="4" name="KSOTemplateDocerSaveRecord">
    <vt:lpwstr>eyJoZGlkIjoiZjYyY2RmNWRjNWIyM2E3NmEwNDA4ZGQ1YmE1MjRkZWUifQ==</vt:lpwstr>
  </property>
</Properties>
</file>