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594A3">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bookmarkStart w:id="0" w:name="_GoBack"/>
      <w:bookmarkEnd w:id="0"/>
    </w:p>
    <w:p w14:paraId="33C881D6">
      <w:pPr>
        <w:spacing w:line="560" w:lineRule="exact"/>
        <w:jc w:val="center"/>
        <w:rPr>
          <w:rFonts w:ascii="方正小标宋简体" w:hAnsi="方正小标宋简体" w:eastAsia="方正小标宋简体" w:cs="方正小标宋简体"/>
          <w:sz w:val="44"/>
          <w:szCs w:val="44"/>
        </w:rPr>
      </w:pPr>
    </w:p>
    <w:p w14:paraId="122E49A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关于加强全省房屋建筑和市政基础设施工程</w:t>
      </w:r>
    </w:p>
    <w:p w14:paraId="44BCFB4D">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招标投标监管工作的若干意见</w:t>
      </w:r>
    </w:p>
    <w:p w14:paraId="4CB3BC6B">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14:paraId="0B59C1C6">
      <w:pPr>
        <w:pStyle w:val="2"/>
      </w:pPr>
    </w:p>
    <w:p w14:paraId="41D7E6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全省房屋建筑和市政基础设施工程（以下简称“房屋市政工程”）招标投标活动，重构规则机制，根据《招标投标法》《招标投标法实施条例》《国务院办公厅关于创新完善体制机制推动招标投标市场规范健康发展的意见》（国办发〔2024〕21号），针对依法必须招标的房屋市政工程项目，提出以下意见。</w:t>
      </w:r>
    </w:p>
    <w:p w14:paraId="5FC2B3A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一、完善招标投标制度</w:t>
      </w:r>
    </w:p>
    <w:p w14:paraId="06D26825">
      <w:pPr>
        <w:spacing w:line="560" w:lineRule="exact"/>
        <w:ind w:firstLine="640" w:firstLineChars="200"/>
        <w:rPr>
          <w:rFonts w:ascii="仿宋_GB2312" w:hAnsi="仿宋_GB2312" w:eastAsia="仿宋_GB2312" w:cs="仿宋_GB2312"/>
          <w:sz w:val="32"/>
          <w:szCs w:val="32"/>
        </w:rPr>
      </w:pPr>
      <w:r>
        <w:rPr>
          <w:rFonts w:hint="eastAsia" w:ascii="楷体" w:hAnsi="楷体" w:eastAsia="楷体"/>
          <w:color w:val="252525"/>
          <w:sz w:val="32"/>
          <w:szCs w:val="32"/>
        </w:rPr>
        <w:t>（一）实施“双盲”评审。</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年推行施工类项目实施评标专家“盲抽”，投标文件的技术标部分隐藏投标人信息，评标专家在不知晓投标人信息的情况下进行“盲评”。后续将</w:t>
      </w:r>
      <w:r>
        <w:rPr>
          <w:rFonts w:hint="eastAsia" w:ascii="仿宋_GB2312" w:hAnsi="楷体" w:eastAsia="仿宋_GB2312"/>
          <w:sz w:val="32"/>
          <w:szCs w:val="32"/>
        </w:rPr>
        <w:t>在工程总承包项目推行“双盲”评审。</w:t>
      </w:r>
    </w:p>
    <w:p w14:paraId="6AD66896">
      <w:pPr>
        <w:spacing w:line="560" w:lineRule="exact"/>
        <w:ind w:firstLine="640" w:firstLineChars="200"/>
        <w:rPr>
          <w:rFonts w:ascii="仿宋_GB2312" w:hAnsi="仿宋_GB2312" w:eastAsia="仿宋_GB2312" w:cs="仿宋_GB2312"/>
          <w:sz w:val="32"/>
          <w:szCs w:val="32"/>
        </w:rPr>
      </w:pPr>
      <w:r>
        <w:rPr>
          <w:rFonts w:hint="eastAsia" w:ascii="楷体" w:hAnsi="楷体" w:eastAsia="楷体"/>
          <w:color w:val="252525"/>
          <w:sz w:val="32"/>
          <w:szCs w:val="32"/>
        </w:rPr>
        <w:t>（二）全面推进远程异地评标。</w:t>
      </w:r>
      <w:r>
        <w:rPr>
          <w:rFonts w:hint="eastAsia" w:ascii="仿宋_GB2312" w:hAnsi="仿宋_GB2312" w:eastAsia="仿宋_GB2312" w:cs="仿宋_GB2312"/>
          <w:sz w:val="32"/>
          <w:szCs w:val="32"/>
        </w:rPr>
        <w:t>2025年全面实施远程异地评标，项目所在地设置主场，以随机抽取方式设置至少两个副场，主场评标专家人数最多不得超过成员总数的三分之一。</w:t>
      </w:r>
      <w:r>
        <w:rPr>
          <w:rFonts w:hint="eastAsia" w:ascii="仿宋_GB2312" w:hAnsi="黑体" w:eastAsia="仿宋_GB2312"/>
          <w:sz w:val="32"/>
          <w:szCs w:val="32"/>
        </w:rPr>
        <w:t>推动远程异地评标跨省联动和评标专家资源在相近专业互通抽取。</w:t>
      </w:r>
    </w:p>
    <w:p w14:paraId="3FCA7602">
      <w:pPr>
        <w:spacing w:line="560" w:lineRule="exact"/>
        <w:ind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二、强化招标人主体责任</w:t>
      </w:r>
    </w:p>
    <w:p w14:paraId="430B7A80">
      <w:pPr>
        <w:spacing w:line="560" w:lineRule="exact"/>
        <w:ind w:firstLine="640" w:firstLineChars="200"/>
        <w:rPr>
          <w:rFonts w:ascii="仿宋_GB2312" w:eastAsia="仿宋_GB2312"/>
          <w:color w:val="252525"/>
          <w:sz w:val="32"/>
          <w:szCs w:val="32"/>
        </w:rPr>
      </w:pPr>
      <w:r>
        <w:rPr>
          <w:rFonts w:hint="eastAsia" w:ascii="楷体" w:hAnsi="楷体" w:eastAsia="楷体"/>
          <w:color w:val="252525"/>
          <w:sz w:val="32"/>
          <w:szCs w:val="32"/>
        </w:rPr>
        <w:t>（三）实施招标计划提前发布</w:t>
      </w:r>
      <w:r>
        <w:rPr>
          <w:rFonts w:hint="eastAsia" w:ascii="仿宋_GB2312" w:eastAsia="仿宋_GB2312"/>
          <w:color w:val="252525"/>
          <w:sz w:val="32"/>
          <w:szCs w:val="32"/>
        </w:rPr>
        <w:t>。招标公告发布之日至少</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日</w:t>
      </w:r>
      <w:r>
        <w:rPr>
          <w:rFonts w:hint="eastAsia" w:ascii="仿宋_GB2312" w:eastAsia="仿宋_GB2312"/>
          <w:color w:val="252525"/>
          <w:sz w:val="32"/>
          <w:szCs w:val="32"/>
        </w:rPr>
        <w:t>前，应在省公共资源交易公共服务平台（以下简称“服务平台”）发布招标计划。招标计划应包括招标人、项目名称、立项文件、招标内容、合同估算价、资金来源等内容。</w:t>
      </w:r>
    </w:p>
    <w:p w14:paraId="5823FBFF">
      <w:pPr>
        <w:spacing w:line="560" w:lineRule="exact"/>
        <w:ind w:firstLine="640" w:firstLineChars="200"/>
        <w:rPr>
          <w:rFonts w:ascii="仿宋_GB2312" w:hAnsi="仿宋_GB2312" w:eastAsia="仿宋_GB2312" w:cs="仿宋_GB2312"/>
          <w:sz w:val="32"/>
          <w:szCs w:val="32"/>
        </w:rPr>
      </w:pPr>
      <w:r>
        <w:rPr>
          <w:rFonts w:hint="eastAsia" w:ascii="楷体" w:hAnsi="楷体" w:eastAsia="楷体"/>
          <w:color w:val="252525"/>
          <w:sz w:val="32"/>
          <w:szCs w:val="32"/>
        </w:rPr>
        <w:t>（四）开展公平竞争审查。</w:t>
      </w:r>
      <w:r>
        <w:rPr>
          <w:rFonts w:hint="eastAsia" w:ascii="仿宋_GB2312" w:hAnsi="仿宋_GB2312" w:eastAsia="仿宋_GB2312" w:cs="仿宋_GB2312"/>
          <w:sz w:val="32"/>
          <w:szCs w:val="32"/>
        </w:rPr>
        <w:t>招标人应对评标办法、投标人须知前附表等内容，通过专家咨询论证、媒体公开征求意见等方式进行公平竞争审查。招标文件公示前，应向项目所在地的住建部门提交《招标文件公平竞争审查报告》。</w:t>
      </w:r>
    </w:p>
    <w:p w14:paraId="0A57DB11">
      <w:pPr>
        <w:spacing w:line="560" w:lineRule="exact"/>
        <w:ind w:firstLine="640" w:firstLineChars="200"/>
        <w:rPr>
          <w:rFonts w:ascii="仿宋_GB2312" w:hAnsi="仿宋_GB2312" w:eastAsia="仿宋_GB2312" w:cs="仿宋_GB2312"/>
          <w:sz w:val="32"/>
          <w:szCs w:val="32"/>
        </w:rPr>
      </w:pPr>
      <w:r>
        <w:rPr>
          <w:rFonts w:hint="eastAsia" w:ascii="楷体" w:hAnsi="楷体" w:eastAsia="楷体"/>
          <w:color w:val="252525"/>
          <w:sz w:val="32"/>
          <w:szCs w:val="32"/>
        </w:rPr>
        <w:t>（五）推行招标文件公示制度。</w:t>
      </w:r>
      <w:r>
        <w:rPr>
          <w:rFonts w:hint="eastAsia" w:ascii="仿宋_GB2312" w:eastAsia="仿宋_GB2312"/>
          <w:color w:val="252525"/>
          <w:sz w:val="32"/>
          <w:szCs w:val="32"/>
        </w:rPr>
        <w:t>招标公告发布前，应将评标办法、</w:t>
      </w:r>
      <w:r>
        <w:rPr>
          <w:rFonts w:hint="eastAsia" w:ascii="仿宋_GB2312" w:hAnsi="仿宋_GB2312" w:eastAsia="仿宋_GB2312" w:cs="仿宋_GB2312"/>
          <w:sz w:val="32"/>
          <w:szCs w:val="32"/>
        </w:rPr>
        <w:t>投标人须知前附表</w:t>
      </w:r>
      <w:r>
        <w:rPr>
          <w:rFonts w:hint="eastAsia" w:ascii="仿宋_GB2312" w:eastAsia="仿宋_GB2312"/>
          <w:color w:val="252525"/>
          <w:sz w:val="32"/>
          <w:szCs w:val="32"/>
        </w:rPr>
        <w:t>等内容在服务平台公示不少于</w:t>
      </w:r>
      <w:r>
        <w:rPr>
          <w:rFonts w:hint="eastAsia" w:ascii="仿宋_GB2312" w:eastAsia="仿宋_GB2312"/>
          <w:sz w:val="32"/>
          <w:szCs w:val="32"/>
        </w:rPr>
        <w:t>3日</w:t>
      </w:r>
      <w:r>
        <w:rPr>
          <w:rFonts w:hint="eastAsia" w:ascii="仿宋_GB2312" w:eastAsia="仿宋_GB2312"/>
          <w:color w:val="252525"/>
          <w:sz w:val="32"/>
          <w:szCs w:val="32"/>
        </w:rPr>
        <w:t>，征求潜在投标人和社会公众意见，接受住建、政数、纪检监察等部门监督。</w:t>
      </w:r>
    </w:p>
    <w:p w14:paraId="01D809BD">
      <w:pPr>
        <w:spacing w:line="560" w:lineRule="exact"/>
        <w:ind w:firstLine="640" w:firstLineChars="200"/>
        <w:rPr>
          <w:rFonts w:ascii="仿宋_GB2312" w:hAnsi="楷体" w:eastAsia="仿宋_GB2312" w:cs="黑体"/>
          <w:color w:val="000000" w:themeColor="text1"/>
          <w:sz w:val="32"/>
          <w:szCs w:val="32"/>
          <w14:textFill>
            <w14:solidFill>
              <w14:schemeClr w14:val="tx1"/>
            </w14:solidFill>
          </w14:textFill>
        </w:rPr>
      </w:pPr>
      <w:r>
        <w:rPr>
          <w:rFonts w:hint="eastAsia" w:ascii="楷体" w:hAnsi="楷体" w:eastAsia="楷体" w:cs="黑体"/>
          <w:sz w:val="32"/>
          <w:szCs w:val="32"/>
        </w:rPr>
        <w:t>（六）约束招标人代表评审行为。</w:t>
      </w:r>
      <w:r>
        <w:rPr>
          <w:rFonts w:hint="eastAsia" w:ascii="仿宋_GB2312" w:hAnsi="楷体" w:eastAsia="仿宋_GB2312" w:cs="黑体"/>
          <w:color w:val="000000" w:themeColor="text1"/>
          <w:sz w:val="32"/>
          <w:szCs w:val="32"/>
          <w14:textFill>
            <w14:solidFill>
              <w14:schemeClr w14:val="tx1"/>
            </w14:solidFill>
          </w14:textFill>
        </w:rPr>
        <w:t>招标人代表</w:t>
      </w:r>
      <w:r>
        <w:rPr>
          <w:rFonts w:hint="eastAsia" w:ascii="仿宋_GB2312" w:hAnsi="楷体" w:eastAsia="仿宋_GB2312" w:cs="黑体"/>
          <w:sz w:val="32"/>
          <w:szCs w:val="32"/>
        </w:rPr>
        <w:t>不得</w:t>
      </w:r>
      <w:r>
        <w:rPr>
          <w:rFonts w:hint="eastAsia" w:ascii="仿宋_GB2312" w:hAnsi="楷体" w:eastAsia="仿宋_GB2312" w:cs="黑体"/>
          <w:color w:val="000000" w:themeColor="text1"/>
          <w:sz w:val="32"/>
          <w:szCs w:val="32"/>
          <w14:textFill>
            <w14:solidFill>
              <w14:schemeClr w14:val="tx1"/>
            </w14:solidFill>
          </w14:textFill>
        </w:rPr>
        <w:t>明示暗示评标专家倾向或排斥特定投标人；畸高畸低打分（即技术标打分最高分与最低分的分差，偏离技术标设定总分值10%以上）影响中标结果的，原则上不计入分值计算，确实能够提供书面合理说明的，方可计入。有关问题线索移交其所在单位纪检监察部门或上级主管部门依法处理，构成犯罪的，依法追究刑事责任。</w:t>
      </w:r>
    </w:p>
    <w:p w14:paraId="0BA55C4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三、严格招标代理机构管理</w:t>
      </w:r>
    </w:p>
    <w:p w14:paraId="7E270E55">
      <w:pPr>
        <w:spacing w:line="560" w:lineRule="exact"/>
        <w:ind w:firstLine="640" w:firstLineChars="200"/>
        <w:rPr>
          <w:rFonts w:ascii="楷体" w:hAnsi="楷体" w:eastAsia="楷体"/>
          <w:color w:val="252525"/>
          <w:sz w:val="32"/>
          <w:szCs w:val="32"/>
        </w:rPr>
      </w:pPr>
      <w:r>
        <w:rPr>
          <w:rFonts w:hint="eastAsia" w:ascii="楷体" w:hAnsi="楷体" w:eastAsia="楷体"/>
          <w:color w:val="252525"/>
          <w:sz w:val="32"/>
          <w:szCs w:val="32"/>
        </w:rPr>
        <w:t>（七）规范招标代理服务行为。</w:t>
      </w:r>
      <w:r>
        <w:rPr>
          <w:rFonts w:hint="eastAsia" w:ascii="仿宋_GB2312" w:hAnsi="楷体" w:eastAsia="仿宋_GB2312"/>
          <w:color w:val="252525"/>
          <w:sz w:val="32"/>
          <w:szCs w:val="32"/>
        </w:rPr>
        <w:t>制定招标代理机构服务标准、行为规范和从业人员能力认定制度。强化信用评价结果运用，C级和未参评的招标代理机构承接项目前，市（州）住建部门</w:t>
      </w:r>
      <w:r>
        <w:rPr>
          <w:rFonts w:hint="eastAsia" w:ascii="仿宋_GB2312" w:hAnsi="楷体" w:eastAsia="仿宋_GB2312"/>
          <w:sz w:val="32"/>
          <w:szCs w:val="32"/>
        </w:rPr>
        <w:t>必须</w:t>
      </w:r>
      <w:r>
        <w:rPr>
          <w:rFonts w:hint="eastAsia" w:ascii="仿宋_GB2312" w:hAnsi="楷体" w:eastAsia="仿宋_GB2312"/>
          <w:color w:val="252525"/>
          <w:sz w:val="32"/>
          <w:szCs w:val="32"/>
        </w:rPr>
        <w:t>核查是否具备代理能力，符合条件</w:t>
      </w:r>
      <w:r>
        <w:rPr>
          <w:rFonts w:hint="eastAsia" w:ascii="仿宋_GB2312" w:hAnsi="楷体" w:eastAsia="仿宋_GB2312"/>
          <w:sz w:val="32"/>
          <w:szCs w:val="32"/>
        </w:rPr>
        <w:t>经公示</w:t>
      </w:r>
      <w:r>
        <w:rPr>
          <w:rFonts w:hint="eastAsia" w:ascii="仿宋_GB2312" w:hAnsi="楷体" w:eastAsia="仿宋_GB2312"/>
          <w:color w:val="252525"/>
          <w:sz w:val="32"/>
          <w:szCs w:val="32"/>
        </w:rPr>
        <w:t>后方可进入公共资源交易场所开展代理业务。</w:t>
      </w:r>
      <w:r>
        <w:rPr>
          <w:rFonts w:hint="eastAsia" w:ascii="仿宋_GB2312" w:hAnsi="楷体" w:eastAsia="仿宋_GB2312"/>
          <w:color w:val="000000" w:themeColor="text1"/>
          <w:sz w:val="32"/>
          <w:szCs w:val="32"/>
          <w14:textFill>
            <w14:solidFill>
              <w14:schemeClr w14:val="tx1"/>
            </w14:solidFill>
          </w14:textFill>
        </w:rPr>
        <w:t>招标人选择C级和未参评的招标代理机构承接业务，应向项目所在地的住建部门书面说明理由。</w:t>
      </w:r>
      <w:r>
        <w:rPr>
          <w:rFonts w:hint="eastAsia" w:ascii="仿宋_GB2312" w:hAnsi="楷体" w:eastAsia="仿宋_GB2312"/>
          <w:color w:val="252525"/>
          <w:sz w:val="32"/>
          <w:szCs w:val="32"/>
        </w:rPr>
        <w:t>A、B级的招标代理机构及其从业人员直接推送至服务平台，实名认证进入公共资源交易场所。</w:t>
      </w:r>
    </w:p>
    <w:p w14:paraId="09B58759">
      <w:pPr>
        <w:spacing w:line="560" w:lineRule="exact"/>
        <w:ind w:firstLine="640" w:firstLineChars="200"/>
        <w:rPr>
          <w:rFonts w:ascii="仿宋_GB2312" w:hAnsi="仿宋_GB2312" w:eastAsia="仿宋_GB2312" w:cs="仿宋_GB2312"/>
          <w:sz w:val="32"/>
          <w:szCs w:val="32"/>
          <w:shd w:val="clear" w:color="auto" w:fill="FFFFFF"/>
        </w:rPr>
      </w:pPr>
      <w:r>
        <w:rPr>
          <w:rFonts w:hint="eastAsia" w:ascii="楷体" w:hAnsi="楷体" w:eastAsia="楷体"/>
          <w:color w:val="252525"/>
          <w:sz w:val="32"/>
          <w:szCs w:val="32"/>
        </w:rPr>
        <w:t>（八）严厉惩处扰乱市场</w:t>
      </w:r>
      <w:r>
        <w:rPr>
          <w:rFonts w:hint="eastAsia" w:ascii="楷体" w:hAnsi="楷体" w:eastAsia="楷体" w:cs="仿宋_GB2312"/>
          <w:sz w:val="32"/>
          <w:szCs w:val="32"/>
          <w:shd w:val="clear" w:color="auto" w:fill="FFFFFF"/>
        </w:rPr>
        <w:t>行为。</w:t>
      </w:r>
      <w:r>
        <w:rPr>
          <w:rFonts w:hint="eastAsia" w:ascii="仿宋_GB2312" w:hAnsi="仿宋_GB2312" w:eastAsia="仿宋_GB2312" w:cs="仿宋_GB2312"/>
          <w:sz w:val="32"/>
          <w:szCs w:val="32"/>
          <w:shd w:val="clear" w:color="auto" w:fill="FFFFFF"/>
        </w:rPr>
        <w:t>招标代理机构与招标人串通、私下接触投标人、泄露保密信息等违法行为，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严重损害国家、社会公共利益</w:t>
      </w:r>
      <w:r>
        <w:rPr>
          <w:rFonts w:hint="eastAsia" w:ascii="仿宋_GB2312" w:hAnsi="仿宋_GB2312" w:eastAsia="仿宋_GB2312" w:cs="仿宋_GB2312"/>
          <w:sz w:val="32"/>
          <w:szCs w:val="32"/>
          <w:shd w:val="clear" w:color="auto" w:fill="FFFFFF"/>
        </w:rPr>
        <w:t>或他人合法权益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w:t>
      </w:r>
      <w:r>
        <w:rPr>
          <w:rFonts w:hint="eastAsia" w:ascii="仿宋_GB2312" w:hAnsi="仿宋_GB2312" w:eastAsia="仿宋_GB2312" w:cs="仿宋_GB2312"/>
          <w:sz w:val="32"/>
          <w:szCs w:val="32"/>
          <w:shd w:val="clear" w:color="auto" w:fill="FFFFFF"/>
        </w:rPr>
        <w:t>对招标代理机构及其直接责任人员依法予以处理，实行“行业禁入”，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列入“黑名单”，同步推送至信用中国（吉林）网站。</w:t>
      </w:r>
      <w:r>
        <w:rPr>
          <w:rFonts w:hint="eastAsia" w:ascii="仿宋_GB2312" w:hAnsi="仿宋_GB2312" w:eastAsia="仿宋_GB2312" w:cs="仿宋_GB2312"/>
          <w:sz w:val="32"/>
          <w:szCs w:val="32"/>
          <w:shd w:val="clear" w:color="auto" w:fill="FFFFFF"/>
        </w:rPr>
        <w:t>对依法应当吊销营业执照的及时向市场监管部门移送线索，涉嫌犯罪的移交公安、司法机关。</w:t>
      </w:r>
    </w:p>
    <w:p w14:paraId="433E5F9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四、实施评标专家动态管理</w:t>
      </w:r>
    </w:p>
    <w:p w14:paraId="0B99B018">
      <w:pPr>
        <w:pStyle w:val="2"/>
        <w:spacing w:line="560" w:lineRule="exact"/>
        <w:ind w:left="0" w:leftChars="0" w:firstLine="640" w:firstLineChars="200"/>
        <w:rPr>
          <w:rFonts w:ascii="仿宋_GB2312" w:hAnsi="楷体_GB2312" w:eastAsia="仿宋_GB2312" w:cs="楷体_GB2312"/>
          <w:sz w:val="32"/>
          <w:szCs w:val="32"/>
        </w:rPr>
      </w:pPr>
      <w:r>
        <w:rPr>
          <w:rFonts w:hint="eastAsia" w:ascii="楷体" w:hAnsi="楷体" w:eastAsia="楷体" w:cs="楷体_GB2312"/>
          <w:sz w:val="32"/>
          <w:szCs w:val="32"/>
        </w:rPr>
        <w:t>（九）落实评标专家全周期管理制度。</w:t>
      </w:r>
      <w:r>
        <w:rPr>
          <w:rFonts w:hint="eastAsia" w:ascii="仿宋_GB2312" w:hAnsi="楷体_GB2312" w:eastAsia="仿宋_GB2312" w:cs="楷体_GB2312"/>
          <w:sz w:val="32"/>
          <w:szCs w:val="32"/>
        </w:rPr>
        <w:t>省公共资源交易一体化平台（以下简称“一体化平台”）嵌入“一标一评”考评系统，强化日常评审行为监管。住建部门对评标专家公正履职等情况进行评价；政数部门对评标专家遵守考勤纪律等情况进行评价。评标专家对评审行为终身负责，不因退休或解除聘任关系等免予追责。</w:t>
      </w:r>
    </w:p>
    <w:p w14:paraId="2138114C">
      <w:pPr>
        <w:pStyle w:val="2"/>
        <w:spacing w:line="560" w:lineRule="exact"/>
        <w:ind w:left="0" w:leftChars="0" w:firstLine="640" w:firstLineChars="200"/>
        <w:rPr>
          <w:rFonts w:ascii="仿宋_GB2312" w:hAnsi="楷体" w:eastAsia="仿宋_GB2312" w:cs="楷体_GB2312"/>
          <w:sz w:val="32"/>
          <w:szCs w:val="32"/>
        </w:rPr>
      </w:pPr>
      <w:r>
        <w:rPr>
          <w:rFonts w:hint="eastAsia" w:ascii="楷体" w:hAnsi="楷体" w:eastAsia="楷体" w:cs="楷体_GB2312"/>
          <w:sz w:val="32"/>
          <w:szCs w:val="32"/>
        </w:rPr>
        <w:t>（十）查处评标专家违法违规行为。</w:t>
      </w:r>
      <w:r>
        <w:rPr>
          <w:rFonts w:hint="eastAsia" w:ascii="仿宋_GB2312" w:hAnsi="楷体" w:eastAsia="仿宋_GB2312" w:cs="楷体_GB2312"/>
          <w:sz w:val="32"/>
          <w:szCs w:val="32"/>
        </w:rPr>
        <w:t>认定评标专家不按照评标标准和方法评标、对依法应否决的投标不提出否决意见、应回避而未回避，且影响中标结果的，省级住建部门做出解聘处理，处理结果在公共资源交易场所电子屏播放。针对畸高畸低打分且不能做出书面合理说明的，立即启动办案协调联动机制，移送案件、跟踪处理。</w:t>
      </w:r>
    </w:p>
    <w:p w14:paraId="4215CBDB">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五、加大投标人投标行为监管</w:t>
      </w:r>
    </w:p>
    <w:p w14:paraId="15F11BF8">
      <w:pPr>
        <w:spacing w:line="560" w:lineRule="exact"/>
        <w:ind w:firstLine="640" w:firstLineChars="200"/>
        <w:rPr>
          <w:rFonts w:ascii="楷体" w:hAnsi="楷体" w:eastAsia="楷体" w:cs="仿宋_GB2312"/>
          <w:color w:val="FF0000"/>
          <w:sz w:val="32"/>
          <w:szCs w:val="32"/>
        </w:rPr>
      </w:pPr>
      <w:r>
        <w:rPr>
          <w:rFonts w:hint="eastAsia" w:ascii="楷体" w:hAnsi="楷体" w:eastAsia="楷体" w:cs="仿宋_GB2312"/>
          <w:sz w:val="32"/>
          <w:szCs w:val="32"/>
        </w:rPr>
        <w:t>（十一）打击挂靠投标转包行为。</w:t>
      </w:r>
      <w:r>
        <w:rPr>
          <w:rFonts w:hint="eastAsia" w:ascii="仿宋_GB2312" w:hAnsi="楷体" w:eastAsia="仿宋_GB2312" w:cs="仿宋_GB2312"/>
          <w:sz w:val="32"/>
          <w:szCs w:val="32"/>
        </w:rPr>
        <w:t>实施招标投标交易市场与施工现场“两场联动”。中标结果公示应将项目管理机构人员名单在服务平台公开。中标人项目管理机构人员应与投标文件承诺一致。确因不可抗力原因需更换人员的，应经建设单位同意，所更换人员必须是中标人本单位专职人员，其资格、条件不低于被更换人员。被更换的施工项目投标人（含入吉建筑业企业）的项目负责人1年内不得在全省范围内参加工程投标。</w:t>
      </w:r>
    </w:p>
    <w:p w14:paraId="783EE14E">
      <w:pPr>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（十二）遏制串通投标行为。</w:t>
      </w:r>
      <w:r>
        <w:rPr>
          <w:rFonts w:hint="eastAsia" w:ascii="仿宋_GB2312" w:hAnsi="楷体" w:eastAsia="仿宋_GB2312" w:cs="仿宋_GB2312"/>
          <w:sz w:val="32"/>
          <w:szCs w:val="32"/>
        </w:rPr>
        <w:t>同一招标项目</w:t>
      </w:r>
      <w:r>
        <w:rPr>
          <w:rFonts w:hint="eastAsia" w:ascii="仿宋_GB2312" w:hAnsi="仿宋_GB2312" w:eastAsia="仿宋_GB2312" w:cs="仿宋_GB2312"/>
          <w:sz w:val="32"/>
          <w:szCs w:val="32"/>
        </w:rPr>
        <w:t>不同投标人电子投标文件的制作机器码或创建标识码相同的，评标专家应严格评审，相关部门通过一体化平台及时将异常信息推送公安机关预警系统。下浮招标控制价1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以内或1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以外的投标报价不计入评标基准价计算，结合公安部门认定的事实，对投标人抱团抬高或压低投标报价的行为依法严肃处理。</w:t>
      </w:r>
    </w:p>
    <w:p w14:paraId="3BE5CE3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六、提升行业主管部门监管能力</w:t>
      </w:r>
    </w:p>
    <w:p w14:paraId="060FD54F">
      <w:pPr>
        <w:spacing w:line="560" w:lineRule="exact"/>
        <w:ind w:firstLine="640" w:firstLineChars="200"/>
        <w:rPr>
          <w:rFonts w:ascii="仿宋_GB2312" w:hAnsi="楷体" w:eastAsia="仿宋_GB2312" w:cs="黑体"/>
          <w:color w:val="000000" w:themeColor="text1"/>
          <w:sz w:val="32"/>
          <w:szCs w:val="32"/>
          <w14:textFill>
            <w14:solidFill>
              <w14:schemeClr w14:val="tx1"/>
            </w14:solidFill>
          </w14:textFill>
        </w:rPr>
      </w:pPr>
      <w:r>
        <w:rPr>
          <w:rFonts w:hint="eastAsia" w:ascii="楷体" w:hAnsi="楷体" w:eastAsia="楷体" w:cs="黑体"/>
          <w:sz w:val="32"/>
          <w:szCs w:val="32"/>
        </w:rPr>
        <w:t>（十三）健全穿透式监管。</w:t>
      </w:r>
      <w:r>
        <w:rPr>
          <w:rFonts w:hint="eastAsia" w:ascii="仿宋_GB2312" w:hAnsi="楷体" w:eastAsia="仿宋_GB2312" w:cs="黑体"/>
          <w:sz w:val="32"/>
          <w:szCs w:val="32"/>
        </w:rPr>
        <w:t>运用“互联网+监管”技术，实现招标投标信息的全过程记录、实时交互，确保交易记录来源可溯、去向可查。加大项目抽查检查力度，省级抽查比例不低于</w:t>
      </w:r>
      <w:r>
        <w:rPr>
          <w:rFonts w:ascii="仿宋_GB2312" w:hAnsi="楷体" w:eastAsia="仿宋_GB2312" w:cs="黑体"/>
          <w:sz w:val="32"/>
          <w:szCs w:val="32"/>
        </w:rPr>
        <w:t>5%</w:t>
      </w:r>
      <w:r>
        <w:rPr>
          <w:rFonts w:hint="eastAsia" w:ascii="仿宋_GB2312" w:hAnsi="楷体" w:eastAsia="仿宋_GB2312" w:cs="黑体"/>
          <w:sz w:val="32"/>
          <w:szCs w:val="32"/>
        </w:rPr>
        <w:t>，中标金额在</w:t>
      </w:r>
      <w:r>
        <w:rPr>
          <w:rFonts w:ascii="仿宋_GB2312" w:hAnsi="楷体" w:eastAsia="仿宋_GB2312" w:cs="黑体"/>
          <w:sz w:val="32"/>
          <w:szCs w:val="32"/>
        </w:rPr>
        <w:t>5</w:t>
      </w:r>
      <w:r>
        <w:rPr>
          <w:rFonts w:hint="eastAsia" w:ascii="仿宋_GB2312" w:hAnsi="楷体" w:eastAsia="仿宋_GB2312" w:cs="黑体"/>
          <w:sz w:val="32"/>
          <w:szCs w:val="32"/>
        </w:rPr>
        <w:t>亿元以上的为必查项目；市（州）级抽查比例不低于1</w:t>
      </w:r>
      <w:r>
        <w:rPr>
          <w:rFonts w:ascii="仿宋_GB2312" w:hAnsi="楷体" w:eastAsia="仿宋_GB2312" w:cs="黑体"/>
          <w:sz w:val="32"/>
          <w:szCs w:val="32"/>
        </w:rPr>
        <w:t>0</w:t>
      </w:r>
      <w:r>
        <w:rPr>
          <w:rFonts w:hint="eastAsia" w:ascii="仿宋_GB2312" w:hAnsi="楷体" w:eastAsia="仿宋_GB2312" w:cs="黑体"/>
          <w:sz w:val="32"/>
          <w:szCs w:val="32"/>
        </w:rPr>
        <w:t>%；县（市）级项目做到全面自查。</w:t>
      </w:r>
    </w:p>
    <w:p w14:paraId="5580C85E">
      <w:pPr>
        <w:spacing w:line="560" w:lineRule="exact"/>
        <w:ind w:firstLine="640" w:firstLineChars="200"/>
        <w:rPr>
          <w:rFonts w:ascii="仿宋_GB2312" w:hAnsi="黑体" w:eastAsia="仿宋_GB2312" w:cs="黑体"/>
          <w:sz w:val="32"/>
          <w:szCs w:val="32"/>
        </w:rPr>
      </w:pPr>
      <w:r>
        <w:rPr>
          <w:rFonts w:hint="eastAsia" w:ascii="楷体" w:hAnsi="楷体" w:eastAsia="楷体" w:cs="黑体"/>
          <w:sz w:val="32"/>
          <w:szCs w:val="32"/>
        </w:rPr>
        <w:t>（十四）强化部门协同监管。</w:t>
      </w:r>
      <w:r>
        <w:rPr>
          <w:rFonts w:hint="eastAsia" w:ascii="仿宋_GB2312" w:hAnsi="黑体" w:eastAsia="仿宋_GB2312" w:cs="黑体"/>
          <w:sz w:val="32"/>
          <w:szCs w:val="32"/>
        </w:rPr>
        <w:t>完善住建部门向纪检监察、公安、司法、市场监管等部门移送问题线索的程序，建立办理情况反馈机制。监管过程中涉及其他部门职责的，及时移交有关部门处理或联合处理，形成工作合力。</w:t>
      </w:r>
    </w:p>
    <w:p w14:paraId="7707B6D9">
      <w:pPr>
        <w:pStyle w:val="2"/>
        <w:spacing w:line="560" w:lineRule="exact"/>
      </w:pPr>
    </w:p>
    <w:p w14:paraId="76DFDD83">
      <w:pPr>
        <w:pStyle w:val="2"/>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附件：吉林省房屋建筑和市政基础设施工程项目招标投标主</w:t>
      </w:r>
    </w:p>
    <w:p w14:paraId="0121F5C8">
      <w:pPr>
        <w:pStyle w:val="2"/>
        <w:spacing w:line="560" w:lineRule="exact"/>
        <w:ind w:left="0" w:leftChars="0" w:firstLine="1600" w:firstLineChars="500"/>
        <w:rPr>
          <w:rFonts w:ascii="仿宋_GB2312" w:eastAsia="仿宋_GB2312"/>
          <w:sz w:val="32"/>
          <w:szCs w:val="32"/>
        </w:rPr>
      </w:pPr>
      <w:r>
        <w:rPr>
          <w:rFonts w:hint="eastAsia" w:ascii="仿宋_GB2312" w:eastAsia="仿宋_GB2312"/>
          <w:sz w:val="32"/>
          <w:szCs w:val="32"/>
        </w:rPr>
        <w:t>要程序图</w:t>
      </w:r>
    </w:p>
    <w:p w14:paraId="79B7D499">
      <w:pPr>
        <w:pStyle w:val="2"/>
        <w:spacing w:line="560" w:lineRule="exact"/>
        <w:ind w:left="0" w:leftChars="0" w:firstLine="1440" w:firstLineChars="450"/>
        <w:rPr>
          <w:rFonts w:ascii="仿宋_GB2312" w:eastAsia="仿宋_GB2312"/>
          <w:sz w:val="32"/>
          <w:szCs w:val="32"/>
        </w:rPr>
      </w:pPr>
    </w:p>
    <w:sectPr>
      <w:footerReference r:id="rId3" w:type="default"/>
      <w:pgSz w:w="11906" w:h="16838"/>
      <w:pgMar w:top="1701"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6900" w:csb1="630065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3772110"/>
    </w:sdtPr>
    <w:sdtContent>
      <w:p w14:paraId="576C8AB7">
        <w:pPr>
          <w:pStyle w:val="5"/>
          <w:jc w:val="center"/>
        </w:pPr>
        <w:r>
          <w:fldChar w:fldCharType="begin"/>
        </w:r>
        <w:r>
          <w:instrText xml:space="preserve">PAGE   \* MERGEFORMAT</w:instrText>
        </w:r>
        <w:r>
          <w:fldChar w:fldCharType="separate"/>
        </w:r>
        <w:r>
          <w:rPr>
            <w:lang w:val="zh-CN"/>
          </w:rPr>
          <w:t>3</w:t>
        </w:r>
        <w:r>
          <w:fldChar w:fldCharType="end"/>
        </w:r>
      </w:p>
    </w:sdtContent>
  </w:sdt>
  <w:p w14:paraId="2AB660B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YmUzZjI4NGYxZDY0YzNmNDc2YmRiMzVmMzA1NmYifQ=="/>
  </w:docVars>
  <w:rsids>
    <w:rsidRoot w:val="DFD88604"/>
    <w:rsid w:val="00001493"/>
    <w:rsid w:val="000234B4"/>
    <w:rsid w:val="00065FC5"/>
    <w:rsid w:val="0007146D"/>
    <w:rsid w:val="00075C22"/>
    <w:rsid w:val="00090377"/>
    <w:rsid w:val="000A5F50"/>
    <w:rsid w:val="000C55B6"/>
    <w:rsid w:val="000C78D5"/>
    <w:rsid w:val="000D0813"/>
    <w:rsid w:val="000D2A8F"/>
    <w:rsid w:val="000D2D43"/>
    <w:rsid w:val="000D6D80"/>
    <w:rsid w:val="000F3035"/>
    <w:rsid w:val="000F7A6A"/>
    <w:rsid w:val="001028A6"/>
    <w:rsid w:val="0010323B"/>
    <w:rsid w:val="00105177"/>
    <w:rsid w:val="001104E4"/>
    <w:rsid w:val="001153F7"/>
    <w:rsid w:val="00123776"/>
    <w:rsid w:val="0012694A"/>
    <w:rsid w:val="001332BD"/>
    <w:rsid w:val="00135D5D"/>
    <w:rsid w:val="00146D88"/>
    <w:rsid w:val="0014771E"/>
    <w:rsid w:val="00156542"/>
    <w:rsid w:val="00157264"/>
    <w:rsid w:val="00161747"/>
    <w:rsid w:val="00166C29"/>
    <w:rsid w:val="001712F4"/>
    <w:rsid w:val="001801D3"/>
    <w:rsid w:val="001A1D89"/>
    <w:rsid w:val="001B77B7"/>
    <w:rsid w:val="001C0831"/>
    <w:rsid w:val="001D72D2"/>
    <w:rsid w:val="001E7027"/>
    <w:rsid w:val="001F4FAC"/>
    <w:rsid w:val="002060E4"/>
    <w:rsid w:val="00207BFF"/>
    <w:rsid w:val="0022192F"/>
    <w:rsid w:val="00223A4B"/>
    <w:rsid w:val="00225379"/>
    <w:rsid w:val="00226578"/>
    <w:rsid w:val="00242521"/>
    <w:rsid w:val="00245C44"/>
    <w:rsid w:val="00256AC7"/>
    <w:rsid w:val="0026467C"/>
    <w:rsid w:val="00281CF9"/>
    <w:rsid w:val="002852C8"/>
    <w:rsid w:val="00287F13"/>
    <w:rsid w:val="00292FA9"/>
    <w:rsid w:val="002B5CAA"/>
    <w:rsid w:val="002C5C00"/>
    <w:rsid w:val="002D1F26"/>
    <w:rsid w:val="002D7553"/>
    <w:rsid w:val="002F2949"/>
    <w:rsid w:val="002F763A"/>
    <w:rsid w:val="00305EC6"/>
    <w:rsid w:val="00312923"/>
    <w:rsid w:val="003326B5"/>
    <w:rsid w:val="00367BCD"/>
    <w:rsid w:val="0038358A"/>
    <w:rsid w:val="00385582"/>
    <w:rsid w:val="00385BEB"/>
    <w:rsid w:val="00387B70"/>
    <w:rsid w:val="00391FCB"/>
    <w:rsid w:val="0039374F"/>
    <w:rsid w:val="003A0034"/>
    <w:rsid w:val="003B69EF"/>
    <w:rsid w:val="003D2863"/>
    <w:rsid w:val="003D4965"/>
    <w:rsid w:val="003E0EDC"/>
    <w:rsid w:val="003E4551"/>
    <w:rsid w:val="003E6E1E"/>
    <w:rsid w:val="00411159"/>
    <w:rsid w:val="004118E4"/>
    <w:rsid w:val="00413E9B"/>
    <w:rsid w:val="00415061"/>
    <w:rsid w:val="0042071E"/>
    <w:rsid w:val="00425CAE"/>
    <w:rsid w:val="004308AE"/>
    <w:rsid w:val="00445396"/>
    <w:rsid w:val="00452F7B"/>
    <w:rsid w:val="0045654E"/>
    <w:rsid w:val="00471EF8"/>
    <w:rsid w:val="004750FD"/>
    <w:rsid w:val="004803A7"/>
    <w:rsid w:val="00493B27"/>
    <w:rsid w:val="004A5B9B"/>
    <w:rsid w:val="004F53C5"/>
    <w:rsid w:val="00511804"/>
    <w:rsid w:val="00520CCC"/>
    <w:rsid w:val="00525C79"/>
    <w:rsid w:val="00527C5D"/>
    <w:rsid w:val="0053195C"/>
    <w:rsid w:val="00533C12"/>
    <w:rsid w:val="00542AE8"/>
    <w:rsid w:val="00547004"/>
    <w:rsid w:val="00552839"/>
    <w:rsid w:val="00555F97"/>
    <w:rsid w:val="00562879"/>
    <w:rsid w:val="00573D89"/>
    <w:rsid w:val="0058670B"/>
    <w:rsid w:val="00592D26"/>
    <w:rsid w:val="00594115"/>
    <w:rsid w:val="005A48AF"/>
    <w:rsid w:val="005B59F6"/>
    <w:rsid w:val="005B5D68"/>
    <w:rsid w:val="005B75C5"/>
    <w:rsid w:val="005C6055"/>
    <w:rsid w:val="005D252A"/>
    <w:rsid w:val="005E0D22"/>
    <w:rsid w:val="00606108"/>
    <w:rsid w:val="00613482"/>
    <w:rsid w:val="00613AE6"/>
    <w:rsid w:val="00640391"/>
    <w:rsid w:val="006538CA"/>
    <w:rsid w:val="00654A76"/>
    <w:rsid w:val="00670B8F"/>
    <w:rsid w:val="006753DB"/>
    <w:rsid w:val="00675C43"/>
    <w:rsid w:val="0068434F"/>
    <w:rsid w:val="006A3DC6"/>
    <w:rsid w:val="006B4341"/>
    <w:rsid w:val="006B5CCF"/>
    <w:rsid w:val="006E0C72"/>
    <w:rsid w:val="006E6C06"/>
    <w:rsid w:val="006F5112"/>
    <w:rsid w:val="00710E12"/>
    <w:rsid w:val="007335F8"/>
    <w:rsid w:val="00734C84"/>
    <w:rsid w:val="0073767F"/>
    <w:rsid w:val="00756F6D"/>
    <w:rsid w:val="0076478C"/>
    <w:rsid w:val="0077542D"/>
    <w:rsid w:val="00775D1D"/>
    <w:rsid w:val="00797936"/>
    <w:rsid w:val="007C2C3C"/>
    <w:rsid w:val="007C5F8F"/>
    <w:rsid w:val="007D6F3D"/>
    <w:rsid w:val="007E55AF"/>
    <w:rsid w:val="00827F0B"/>
    <w:rsid w:val="0086164E"/>
    <w:rsid w:val="00875526"/>
    <w:rsid w:val="00881DAC"/>
    <w:rsid w:val="00884853"/>
    <w:rsid w:val="00887596"/>
    <w:rsid w:val="00895725"/>
    <w:rsid w:val="00896C5A"/>
    <w:rsid w:val="008A485B"/>
    <w:rsid w:val="008A5446"/>
    <w:rsid w:val="008D02E0"/>
    <w:rsid w:val="008D2D47"/>
    <w:rsid w:val="008D6A4C"/>
    <w:rsid w:val="008E44AA"/>
    <w:rsid w:val="00901E3F"/>
    <w:rsid w:val="00911FF5"/>
    <w:rsid w:val="00912FA2"/>
    <w:rsid w:val="00916CC5"/>
    <w:rsid w:val="009268D9"/>
    <w:rsid w:val="0093055F"/>
    <w:rsid w:val="00944EA7"/>
    <w:rsid w:val="00954FE1"/>
    <w:rsid w:val="00960D56"/>
    <w:rsid w:val="00971D7B"/>
    <w:rsid w:val="00976BBC"/>
    <w:rsid w:val="009824C6"/>
    <w:rsid w:val="0099574A"/>
    <w:rsid w:val="009A716B"/>
    <w:rsid w:val="009E64B4"/>
    <w:rsid w:val="009E677D"/>
    <w:rsid w:val="009F5156"/>
    <w:rsid w:val="00A060CA"/>
    <w:rsid w:val="00A06962"/>
    <w:rsid w:val="00A4506A"/>
    <w:rsid w:val="00A65836"/>
    <w:rsid w:val="00A713BE"/>
    <w:rsid w:val="00A72DA9"/>
    <w:rsid w:val="00A803B3"/>
    <w:rsid w:val="00A84500"/>
    <w:rsid w:val="00A9456F"/>
    <w:rsid w:val="00AB053E"/>
    <w:rsid w:val="00AE2EDD"/>
    <w:rsid w:val="00AE3CC8"/>
    <w:rsid w:val="00AE5FC3"/>
    <w:rsid w:val="00B02BFE"/>
    <w:rsid w:val="00B03829"/>
    <w:rsid w:val="00B06108"/>
    <w:rsid w:val="00B272DC"/>
    <w:rsid w:val="00B50493"/>
    <w:rsid w:val="00B54421"/>
    <w:rsid w:val="00B7397E"/>
    <w:rsid w:val="00B9312E"/>
    <w:rsid w:val="00B942E3"/>
    <w:rsid w:val="00BA4CAB"/>
    <w:rsid w:val="00BC5219"/>
    <w:rsid w:val="00BC58E9"/>
    <w:rsid w:val="00BC61EC"/>
    <w:rsid w:val="00BD4ACF"/>
    <w:rsid w:val="00BE5299"/>
    <w:rsid w:val="00C1724E"/>
    <w:rsid w:val="00C21A72"/>
    <w:rsid w:val="00C22EE4"/>
    <w:rsid w:val="00C241EF"/>
    <w:rsid w:val="00C47E3D"/>
    <w:rsid w:val="00C55874"/>
    <w:rsid w:val="00C645C9"/>
    <w:rsid w:val="00C66C9A"/>
    <w:rsid w:val="00C81838"/>
    <w:rsid w:val="00C95204"/>
    <w:rsid w:val="00C97F4B"/>
    <w:rsid w:val="00CD678C"/>
    <w:rsid w:val="00CE1387"/>
    <w:rsid w:val="00CE6F0F"/>
    <w:rsid w:val="00D00CA6"/>
    <w:rsid w:val="00D0312E"/>
    <w:rsid w:val="00D0798B"/>
    <w:rsid w:val="00D130B3"/>
    <w:rsid w:val="00D15F21"/>
    <w:rsid w:val="00D24918"/>
    <w:rsid w:val="00D435B6"/>
    <w:rsid w:val="00D453BC"/>
    <w:rsid w:val="00D83F28"/>
    <w:rsid w:val="00D8419D"/>
    <w:rsid w:val="00DA0C41"/>
    <w:rsid w:val="00DB1107"/>
    <w:rsid w:val="00DB5008"/>
    <w:rsid w:val="00DB6B54"/>
    <w:rsid w:val="00DC4AEE"/>
    <w:rsid w:val="00DC54FF"/>
    <w:rsid w:val="00E00340"/>
    <w:rsid w:val="00E1306C"/>
    <w:rsid w:val="00E53EE8"/>
    <w:rsid w:val="00E571FC"/>
    <w:rsid w:val="00E67918"/>
    <w:rsid w:val="00E8615F"/>
    <w:rsid w:val="00EC5992"/>
    <w:rsid w:val="00F03BF2"/>
    <w:rsid w:val="00F06F92"/>
    <w:rsid w:val="00F121DF"/>
    <w:rsid w:val="00F342CE"/>
    <w:rsid w:val="00F45F90"/>
    <w:rsid w:val="00F539CB"/>
    <w:rsid w:val="00F61A5E"/>
    <w:rsid w:val="00F644A1"/>
    <w:rsid w:val="00F658F1"/>
    <w:rsid w:val="00F65DE6"/>
    <w:rsid w:val="00FA0A0D"/>
    <w:rsid w:val="00FA0B64"/>
    <w:rsid w:val="00FB3848"/>
    <w:rsid w:val="00FF4073"/>
    <w:rsid w:val="0E7FAA48"/>
    <w:rsid w:val="0F95B3F9"/>
    <w:rsid w:val="0FB72E91"/>
    <w:rsid w:val="1FFA5384"/>
    <w:rsid w:val="2BBB8B52"/>
    <w:rsid w:val="37955E55"/>
    <w:rsid w:val="3FF3D7AB"/>
    <w:rsid w:val="3FF917F9"/>
    <w:rsid w:val="4F761965"/>
    <w:rsid w:val="54C71256"/>
    <w:rsid w:val="5B777CE5"/>
    <w:rsid w:val="65FE4956"/>
    <w:rsid w:val="6BBB5202"/>
    <w:rsid w:val="727FC6A2"/>
    <w:rsid w:val="734271CD"/>
    <w:rsid w:val="73F39147"/>
    <w:rsid w:val="757EA420"/>
    <w:rsid w:val="77FE58BE"/>
    <w:rsid w:val="77FE8784"/>
    <w:rsid w:val="7BD7C854"/>
    <w:rsid w:val="7C7FA076"/>
    <w:rsid w:val="8FFF4A35"/>
    <w:rsid w:val="A9C3C3FF"/>
    <w:rsid w:val="BFB7B72E"/>
    <w:rsid w:val="BFED28C1"/>
    <w:rsid w:val="C7FF84ED"/>
    <w:rsid w:val="DFD88604"/>
    <w:rsid w:val="E1FB2CFF"/>
    <w:rsid w:val="E56F32A3"/>
    <w:rsid w:val="E7FF3E7D"/>
    <w:rsid w:val="EDA790E4"/>
    <w:rsid w:val="EFF7977E"/>
    <w:rsid w:val="F378E8F4"/>
    <w:rsid w:val="F3F5BE5B"/>
    <w:rsid w:val="F6BF800B"/>
    <w:rsid w:val="F6CF6DCE"/>
    <w:rsid w:val="F7AB306A"/>
    <w:rsid w:val="F9E55487"/>
    <w:rsid w:val="F9EE70BA"/>
    <w:rsid w:val="FAEC63D0"/>
    <w:rsid w:val="FBE4D6F7"/>
    <w:rsid w:val="FBF50556"/>
    <w:rsid w:val="FBF7F3CC"/>
    <w:rsid w:val="FBFF267C"/>
    <w:rsid w:val="FFB60057"/>
    <w:rsid w:val="FFE4C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360"/>
      </w:tabs>
      <w:ind w:firstLine="420"/>
    </w:pPr>
    <w:rPr>
      <w:sz w:val="24"/>
    </w:rPr>
  </w:style>
  <w:style w:type="paragraph" w:styleId="3">
    <w:name w:val="Body Text Indent"/>
    <w:basedOn w:val="1"/>
    <w:qFormat/>
    <w:uiPriority w:val="0"/>
    <w:pPr>
      <w:ind w:left="420" w:leftChars="200"/>
    </w:pPr>
    <w:rPr>
      <w:rFonts w:ascii="Times New Roman" w:hAnsi="Times New Roman"/>
    </w:rPr>
  </w:style>
  <w:style w:type="paragraph" w:styleId="4">
    <w:name w:val="Balloon Text"/>
    <w:basedOn w:val="1"/>
    <w:link w:val="11"/>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qFormat/>
    <w:uiPriority w:val="99"/>
    <w:rPr>
      <w:kern w:val="2"/>
      <w:sz w:val="18"/>
      <w:szCs w:val="18"/>
    </w:rPr>
  </w:style>
  <w:style w:type="character" w:customStyle="1" w:styleId="11">
    <w:name w:val="批注框文本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330</Words>
  <Characters>1887</Characters>
  <Lines>15</Lines>
  <Paragraphs>4</Paragraphs>
  <TotalTime>0</TotalTime>
  <ScaleCrop>false</ScaleCrop>
  <LinksUpToDate>false</LinksUpToDate>
  <CharactersWithSpaces>2213</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2025-02-09T23:19:00Z</dcterms:created>
  <dc:creator>zjt</dc:creator>
  <cp:lastModifiedBy>蔡磊</cp:lastModifiedBy>
  <cp:lastPrinted>2025-03-12T19:31:00Z</cp:lastPrinted>
  <dcterms:modified xsi:type="dcterms:W3CDTF">2025-03-14T13:11:30Z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KSOTemplateDocerSaveRecord">
    <vt:lpwstr>eyJoZGlkIjoiZmYyNTMwN2E0OGE1YTdlZDFhMDlkYTVlYTVkMzkxNDciLCJ1c2VySWQiOiIyNDEzNDQ4ODkifQ==</vt:lpwstr>
  </property>
  <property fmtid="{D5CDD505-2E9C-101B-9397-08002B2CF9AE}" pid="4" name="ICV">
    <vt:lpwstr>56F35F05CC8941C4BA831CE0292753FC_12</vt:lpwstr>
  </property>
</Properties>
</file>