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90" w:rsidRDefault="007E298B">
      <w:pPr>
        <w:spacing w:line="600" w:lineRule="exact"/>
        <w:jc w:val="left"/>
        <w:rPr>
          <w:rFonts w:ascii="黑体" w:eastAsia="黑体" w:hAnsi="黑体"/>
        </w:rPr>
      </w:pPr>
      <w:r>
        <w:rPr>
          <w:rFonts w:ascii="黑体" w:eastAsia="黑体" w:hAnsi="黑体"/>
        </w:rPr>
        <w:t>附件</w:t>
      </w:r>
    </w:p>
    <w:p w:rsidR="004D6D90" w:rsidRDefault="004D6D90">
      <w:pPr>
        <w:spacing w:line="600" w:lineRule="exact"/>
        <w:jc w:val="left"/>
        <w:rPr>
          <w:rFonts w:ascii="黑体" w:eastAsia="黑体" w:hAnsi="黑体"/>
        </w:rPr>
      </w:pPr>
    </w:p>
    <w:p w:rsidR="004D6D90" w:rsidRDefault="007E298B">
      <w:pPr>
        <w:spacing w:line="6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吉林省建制镇生活污水</w:t>
      </w:r>
    </w:p>
    <w:p w:rsidR="004D6D90" w:rsidRDefault="007E298B">
      <w:pPr>
        <w:spacing w:line="6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处理设施运行维护管理办法（征求意见稿）</w:t>
      </w:r>
    </w:p>
    <w:p w:rsidR="004D6D90" w:rsidRDefault="004D6D90">
      <w:pPr>
        <w:spacing w:line="600" w:lineRule="exact"/>
        <w:jc w:val="center"/>
        <w:rPr>
          <w:rFonts w:ascii="楷体_GB2312" w:eastAsia="楷体_GB2312"/>
        </w:rPr>
      </w:pPr>
    </w:p>
    <w:p w:rsidR="004D6D90" w:rsidRDefault="007E298B">
      <w:pPr>
        <w:shd w:val="solid" w:color="FFFFFF" w:fill="auto"/>
        <w:autoSpaceDN w:val="0"/>
        <w:spacing w:line="600" w:lineRule="exact"/>
        <w:jc w:val="center"/>
        <w:rPr>
          <w:rFonts w:ascii="黑体" w:eastAsia="黑体" w:hAnsi="黑体"/>
          <w:spacing w:val="8"/>
          <w:shd w:val="clear" w:color="auto" w:fill="FFFFFF"/>
        </w:rPr>
      </w:pPr>
      <w:r>
        <w:rPr>
          <w:rFonts w:ascii="黑体" w:eastAsia="黑体" w:hAnsi="黑体" w:cs="黑体" w:hint="eastAsia"/>
          <w:spacing w:val="8"/>
          <w:shd w:val="clear" w:color="auto" w:fill="FFFFFF"/>
        </w:rPr>
        <w:t>第一章</w:t>
      </w:r>
      <w:r>
        <w:rPr>
          <w:rFonts w:ascii="黑体" w:eastAsia="黑体" w:hAnsi="黑体" w:cs="黑体" w:hint="eastAsia"/>
          <w:spacing w:val="8"/>
          <w:shd w:val="clear" w:color="auto" w:fill="FFFFFF"/>
        </w:rPr>
        <w:t xml:space="preserve"> </w:t>
      </w:r>
      <w:r>
        <w:rPr>
          <w:rFonts w:ascii="黑体" w:eastAsia="黑体" w:hAnsi="黑体" w:cs="黑体" w:hint="eastAsia"/>
          <w:spacing w:val="8"/>
          <w:shd w:val="clear" w:color="auto" w:fill="FFFFFF"/>
        </w:rPr>
        <w:t>总则</w:t>
      </w:r>
    </w:p>
    <w:p w:rsidR="004D6D90" w:rsidRDefault="004D6D90">
      <w:pPr>
        <w:shd w:val="solid" w:color="FFFFFF" w:fill="auto"/>
        <w:autoSpaceDN w:val="0"/>
        <w:spacing w:line="600" w:lineRule="exact"/>
        <w:rPr>
          <w:rFonts w:ascii="仿宋_GB2312" w:hAnsi="文星标宋"/>
          <w:spacing w:val="8"/>
          <w:shd w:val="clear" w:color="auto" w:fill="FFFFFF"/>
        </w:rPr>
      </w:pPr>
    </w:p>
    <w:p w:rsidR="004D6D90" w:rsidRDefault="007E298B">
      <w:pPr>
        <w:shd w:val="solid" w:color="FFFFFF" w:fill="auto"/>
        <w:autoSpaceDN w:val="0"/>
        <w:spacing w:line="600" w:lineRule="exact"/>
        <w:ind w:firstLineChars="200" w:firstLine="672"/>
        <w:rPr>
          <w:rFonts w:ascii="仿宋_GB2312" w:hAnsi="文星标宋"/>
          <w:spacing w:val="8"/>
          <w:shd w:val="clear" w:color="auto" w:fill="FFFFFF"/>
        </w:rPr>
      </w:pPr>
      <w:r>
        <w:rPr>
          <w:rFonts w:ascii="黑体" w:eastAsia="黑体" w:hAnsi="黑体" w:cs="黑体" w:hint="eastAsia"/>
          <w:spacing w:val="8"/>
          <w:shd w:val="clear" w:color="auto" w:fill="FFFFFF"/>
        </w:rPr>
        <w:t>第一条</w:t>
      </w:r>
      <w:r>
        <w:rPr>
          <w:rFonts w:ascii="黑体" w:eastAsia="黑体" w:hAnsi="黑体" w:cs="黑体" w:hint="eastAsia"/>
          <w:spacing w:val="8"/>
          <w:shd w:val="clear" w:color="auto" w:fill="FFFFFF"/>
        </w:rPr>
        <w:t xml:space="preserve"> </w:t>
      </w:r>
      <w:r>
        <w:rPr>
          <w:rFonts w:ascii="仿宋_GB2312" w:hAnsi="文星标宋" w:cs="仿宋_GB2312" w:hint="eastAsia"/>
          <w:spacing w:val="8"/>
          <w:shd w:val="clear" w:color="auto" w:fill="FFFFFF"/>
        </w:rPr>
        <w:t>为规范和加强全省建制镇生活污水处理设施运行维护，保障设施正常运行，改善建制镇水生态环境，根据</w:t>
      </w:r>
      <w:r>
        <w:rPr>
          <w:rFonts w:ascii="仿宋_GB2312" w:hAnsi="仿宋_GB2312" w:cs="仿宋_GB2312" w:hint="eastAsia"/>
        </w:rPr>
        <w:t>《中华人民共和国水污染防治法》《城镇排水与污水处理条例》等相关法律法规</w:t>
      </w:r>
      <w:r>
        <w:rPr>
          <w:rFonts w:ascii="仿宋_GB2312" w:hAnsi="文星标宋" w:cs="仿宋_GB2312" w:hint="eastAsia"/>
          <w:spacing w:val="8"/>
          <w:shd w:val="clear" w:color="auto" w:fill="FFFFFF"/>
        </w:rPr>
        <w:t>，结合我省实际，制定本办法。</w:t>
      </w:r>
    </w:p>
    <w:p w:rsidR="004D6D90" w:rsidRDefault="007E298B">
      <w:pPr>
        <w:shd w:val="solid" w:color="FFFFFF" w:fill="auto"/>
        <w:autoSpaceDN w:val="0"/>
        <w:spacing w:line="600" w:lineRule="exact"/>
        <w:ind w:firstLineChars="200" w:firstLine="672"/>
        <w:rPr>
          <w:rFonts w:ascii="仿宋_GB2312" w:hAnsi="文星标宋"/>
          <w:spacing w:val="8"/>
          <w:shd w:val="clear" w:color="auto" w:fill="FFFFFF"/>
        </w:rPr>
      </w:pPr>
      <w:r>
        <w:rPr>
          <w:rFonts w:ascii="黑体" w:eastAsia="黑体" w:hAnsi="黑体" w:cs="黑体" w:hint="eastAsia"/>
          <w:spacing w:val="8"/>
          <w:shd w:val="clear" w:color="auto" w:fill="FFFFFF"/>
        </w:rPr>
        <w:t>第二条</w:t>
      </w:r>
      <w:r>
        <w:rPr>
          <w:rFonts w:ascii="黑体" w:eastAsia="黑体" w:hAnsi="黑体" w:cs="黑体" w:hint="eastAsia"/>
          <w:spacing w:val="8"/>
          <w:shd w:val="clear" w:color="auto" w:fill="FFFFFF"/>
        </w:rPr>
        <w:t xml:space="preserve"> </w:t>
      </w:r>
      <w:r>
        <w:rPr>
          <w:rFonts w:ascii="仿宋_GB2312" w:hAnsi="文星标宋" w:cs="仿宋_GB2312" w:hint="eastAsia"/>
          <w:spacing w:val="8"/>
          <w:shd w:val="clear" w:color="auto" w:fill="FFFFFF"/>
        </w:rPr>
        <w:t>本办法适用于本省行政区域内建制镇（不含县级政府驻地所在镇）生活污水处理设施的运行维护及监督管理。本办法所称建制镇生活污水处理设施是指建制镇生活污水处理厂（站）、收集池及配套管网等附属设施，不含专门处理工业废水，或为工业园区、开发区等工业聚集区域内</w:t>
      </w:r>
      <w:r>
        <w:rPr>
          <w:rFonts w:ascii="仿宋_GB2312" w:hAnsi="文星标宋" w:cs="仿宋_GB2312" w:hint="eastAsia"/>
          <w:spacing w:val="8"/>
          <w:shd w:val="clear" w:color="auto" w:fill="FFFFFF"/>
        </w:rPr>
        <w:t>的排污单位提供污水处理服务并作为工业聚集区配套设施的污水处理设施。规划涉及以处理工业废水为主的厂（站），应按工业废水处理设施要求管理，不得作为生活污水处理设施管理。</w:t>
      </w:r>
    </w:p>
    <w:p w:rsidR="004D6D90" w:rsidRDefault="007E298B">
      <w:pPr>
        <w:shd w:val="solid" w:color="FFFFFF" w:fill="auto"/>
        <w:autoSpaceDN w:val="0"/>
        <w:spacing w:line="600" w:lineRule="exact"/>
        <w:ind w:firstLineChars="200" w:firstLine="672"/>
        <w:rPr>
          <w:rFonts w:ascii="仿宋_GB2312" w:hAnsi="文星标宋" w:cs="仿宋_GB2312"/>
          <w:spacing w:val="8"/>
          <w:shd w:val="clear" w:color="auto" w:fill="FFFFFF"/>
        </w:rPr>
      </w:pPr>
      <w:r>
        <w:rPr>
          <w:rFonts w:ascii="黑体" w:eastAsia="黑体" w:hAnsi="黑体" w:cs="黑体" w:hint="eastAsia"/>
          <w:spacing w:val="8"/>
          <w:shd w:val="clear" w:color="auto" w:fill="FFFFFF"/>
        </w:rPr>
        <w:t>第三条</w:t>
      </w:r>
      <w:r>
        <w:rPr>
          <w:rFonts w:ascii="黑体" w:eastAsia="黑体" w:hAnsi="黑体" w:cs="黑体" w:hint="eastAsia"/>
          <w:spacing w:val="8"/>
          <w:shd w:val="clear" w:color="auto" w:fill="FFFFFF"/>
        </w:rPr>
        <w:t xml:space="preserve"> </w:t>
      </w:r>
      <w:r>
        <w:rPr>
          <w:rFonts w:ascii="仿宋_GB2312" w:hAnsi="文星标宋" w:cs="仿宋_GB2312" w:hint="eastAsia"/>
          <w:spacing w:val="8"/>
          <w:shd w:val="clear" w:color="auto" w:fill="FFFFFF"/>
        </w:rPr>
        <w:t>建制镇生活污水处理设施应基于本地人口规模、用水现状、经济社会状况、自然地理条件等因素，以县域为单元，合理规划建制镇生活污水收集处理设施布局、工艺、</w:t>
      </w:r>
      <w:r>
        <w:rPr>
          <w:rFonts w:ascii="仿宋_GB2312" w:hAnsi="文星标宋" w:cs="仿宋_GB2312" w:hint="eastAsia"/>
          <w:spacing w:val="8"/>
          <w:shd w:val="clear" w:color="auto" w:fill="FFFFFF"/>
        </w:rPr>
        <w:lastRenderedPageBreak/>
        <w:t>规模和服务范围，既要满足当前需要，又要避免盲目贪大或过度超前建设。因地制宜选择处理模式，宜集中则集中，宜分散则分散。靠近城市（县城）的镇，生活污水可纳入城市（县城）市政污水处理系统。城镇化水平</w:t>
      </w:r>
      <w:r>
        <w:rPr>
          <w:rFonts w:ascii="仿宋_GB2312" w:hAnsi="文星标宋" w:cs="仿宋_GB2312" w:hint="eastAsia"/>
          <w:spacing w:val="8"/>
          <w:shd w:val="clear" w:color="auto" w:fill="FFFFFF"/>
        </w:rPr>
        <w:t>较高、人口密集的镇，可集中规划建设污水处理设施，按照就近就地资源化利用的要求，合理布局设施。相邻间距较近的镇，可采用跨镇集中联建方式建设污水处理设施。人口少、集中程度不高的镇，推广小型化、分散化、生态化处理设施。具有农业特征的建制镇，可将生活污水黑灰分离，分别处理后资源化利用。集中处理设施要考虑周边人群防护距离，防止建成后恶臭扰民。</w:t>
      </w:r>
    </w:p>
    <w:p w:rsidR="004D6D90" w:rsidRDefault="007E298B">
      <w:pPr>
        <w:shd w:val="solid" w:color="FFFFFF" w:fill="auto"/>
        <w:autoSpaceDN w:val="0"/>
        <w:spacing w:line="600" w:lineRule="exact"/>
        <w:ind w:firstLineChars="200" w:firstLine="672"/>
        <w:rPr>
          <w:rFonts w:ascii="仿宋_GB2312" w:hAnsi="文星标宋" w:cs="仿宋_GB2312"/>
          <w:spacing w:val="8"/>
          <w:shd w:val="clear" w:color="auto" w:fill="FFFFFF"/>
        </w:rPr>
      </w:pPr>
      <w:r>
        <w:rPr>
          <w:rFonts w:ascii="黑体" w:eastAsia="黑体" w:hAnsi="黑体" w:cs="黑体" w:hint="eastAsia"/>
          <w:spacing w:val="8"/>
          <w:shd w:val="clear" w:color="auto" w:fill="FFFFFF"/>
        </w:rPr>
        <w:t>第四条</w:t>
      </w:r>
      <w:r>
        <w:rPr>
          <w:rFonts w:ascii="黑体" w:eastAsia="黑体" w:hAnsi="黑体" w:cs="黑体" w:hint="eastAsia"/>
          <w:spacing w:val="8"/>
          <w:shd w:val="clear" w:color="auto" w:fill="FFFFFF"/>
        </w:rPr>
        <w:t xml:space="preserve"> </w:t>
      </w:r>
      <w:r>
        <w:rPr>
          <w:rFonts w:ascii="仿宋_GB2312" w:hAnsi="文星标宋" w:cs="仿宋_GB2312" w:hint="eastAsia"/>
          <w:spacing w:val="8"/>
          <w:shd w:val="clear" w:color="auto" w:fill="FFFFFF"/>
        </w:rPr>
        <w:t>建制镇生活污水处理设施运行维护管理坚持政府主导、县域统筹、分类施策、建管并重、多方参与、市场运作的原则，实现设施完好、管理有序、运行正常、水质达标的目标。</w:t>
      </w:r>
    </w:p>
    <w:p w:rsidR="004D6D90" w:rsidRDefault="004D6D90">
      <w:pPr>
        <w:shd w:val="solid" w:color="FFFFFF" w:fill="auto"/>
        <w:autoSpaceDN w:val="0"/>
        <w:spacing w:line="600" w:lineRule="exact"/>
        <w:ind w:firstLineChars="200" w:firstLine="672"/>
        <w:rPr>
          <w:rFonts w:ascii="仿宋_GB2312" w:hAnsi="文星标宋" w:cs="仿宋_GB2312"/>
          <w:spacing w:val="8"/>
          <w:shd w:val="clear" w:color="auto" w:fill="FFFFFF"/>
        </w:rPr>
      </w:pPr>
    </w:p>
    <w:p w:rsidR="004D6D90" w:rsidRDefault="007E298B">
      <w:pPr>
        <w:shd w:val="solid" w:color="FFFFFF" w:fill="auto"/>
        <w:autoSpaceDN w:val="0"/>
        <w:spacing w:line="600" w:lineRule="exact"/>
        <w:jc w:val="center"/>
        <w:rPr>
          <w:rFonts w:ascii="黑体" w:eastAsia="黑体" w:hAnsi="黑体"/>
          <w:spacing w:val="8"/>
          <w:shd w:val="clear" w:color="auto" w:fill="FFFFFF"/>
        </w:rPr>
      </w:pPr>
      <w:r>
        <w:rPr>
          <w:rFonts w:ascii="黑体" w:eastAsia="黑体" w:hAnsi="黑体" w:cs="黑体" w:hint="eastAsia"/>
          <w:spacing w:val="8"/>
          <w:shd w:val="clear" w:color="auto" w:fill="FFFFFF"/>
        </w:rPr>
        <w:t>第二章</w:t>
      </w:r>
      <w:r>
        <w:rPr>
          <w:rFonts w:ascii="黑体" w:eastAsia="黑体" w:hAnsi="黑体" w:cs="黑体" w:hint="eastAsia"/>
          <w:spacing w:val="8"/>
          <w:shd w:val="clear" w:color="auto" w:fill="FFFFFF"/>
        </w:rPr>
        <w:t xml:space="preserve"> </w:t>
      </w:r>
      <w:r>
        <w:rPr>
          <w:rFonts w:ascii="黑体" w:eastAsia="黑体" w:hAnsi="黑体" w:cs="黑体" w:hint="eastAsia"/>
          <w:spacing w:val="8"/>
          <w:shd w:val="clear" w:color="auto" w:fill="FFFFFF"/>
        </w:rPr>
        <w:t>职</w:t>
      </w:r>
      <w:r>
        <w:rPr>
          <w:rFonts w:ascii="黑体" w:eastAsia="黑体" w:hAnsi="黑体" w:cs="黑体" w:hint="eastAsia"/>
          <w:spacing w:val="8"/>
          <w:shd w:val="clear" w:color="auto" w:fill="FFFFFF"/>
        </w:rPr>
        <w:t>责分工</w:t>
      </w:r>
    </w:p>
    <w:p w:rsidR="004D6D90" w:rsidRDefault="004D6D90">
      <w:pPr>
        <w:shd w:val="solid" w:color="FFFFFF" w:fill="auto"/>
        <w:autoSpaceDN w:val="0"/>
        <w:spacing w:line="600" w:lineRule="exact"/>
        <w:rPr>
          <w:rFonts w:ascii="文星标宋" w:eastAsia="文星标宋" w:hAnsi="文星标宋"/>
          <w:spacing w:val="8"/>
          <w:sz w:val="44"/>
          <w:szCs w:val="44"/>
          <w:shd w:val="clear" w:color="auto" w:fill="FFFFFF"/>
        </w:rPr>
      </w:pPr>
    </w:p>
    <w:p w:rsidR="004D6D90" w:rsidRDefault="007E298B">
      <w:pPr>
        <w:shd w:val="solid" w:color="FFFFFF" w:fill="auto"/>
        <w:autoSpaceDN w:val="0"/>
        <w:spacing w:line="600" w:lineRule="exact"/>
        <w:ind w:firstLineChars="200" w:firstLine="672"/>
        <w:rPr>
          <w:rFonts w:ascii="仿宋_GB2312" w:hAnsi="仿宋_GB2312" w:cs="仿宋_GB2312"/>
          <w:color w:val="000000"/>
          <w:shd w:val="clear" w:color="auto" w:fill="FFFFFF"/>
        </w:rPr>
      </w:pPr>
      <w:r>
        <w:rPr>
          <w:rFonts w:ascii="黑体" w:eastAsia="黑体" w:hAnsi="黑体" w:cs="黑体" w:hint="eastAsia"/>
          <w:spacing w:val="8"/>
          <w:shd w:val="clear" w:color="auto" w:fill="FFFFFF"/>
        </w:rPr>
        <w:t>第四条</w:t>
      </w:r>
      <w:r>
        <w:rPr>
          <w:rFonts w:ascii="黑体" w:eastAsia="黑体" w:hAnsi="黑体" w:cs="黑体" w:hint="eastAsia"/>
          <w:spacing w:val="8"/>
          <w:shd w:val="clear" w:color="auto" w:fill="FFFFFF"/>
        </w:rPr>
        <w:t xml:space="preserve"> </w:t>
      </w:r>
      <w:r>
        <w:rPr>
          <w:rFonts w:ascii="仿宋_GB2312" w:hAnsi="黑体" w:cs="黑体" w:hint="eastAsia"/>
          <w:spacing w:val="8"/>
          <w:shd w:val="clear" w:color="auto" w:fill="FFFFFF"/>
        </w:rPr>
        <w:t>按照《中华人民共和国水污染防治法》要</w:t>
      </w:r>
      <w:r>
        <w:rPr>
          <w:rFonts w:ascii="仿宋_GB2312" w:hAnsi="黑体" w:cs="黑体" w:hint="eastAsia"/>
          <w:spacing w:val="8"/>
          <w:shd w:val="clear" w:color="auto" w:fill="FFFFFF"/>
        </w:rPr>
        <w:t>求，</w:t>
      </w:r>
      <w:r>
        <w:rPr>
          <w:rFonts w:ascii="仿宋_GB2312" w:hAnsi="文星标宋" w:cs="仿宋_GB2312" w:hint="eastAsia"/>
          <w:spacing w:val="8"/>
          <w:shd w:val="clear" w:color="auto" w:fill="FFFFFF"/>
        </w:rPr>
        <w:t>县</w:t>
      </w:r>
      <w:r>
        <w:rPr>
          <w:rFonts w:ascii="仿宋_GB2312" w:hAnsi="仿宋_GB2312" w:cs="仿宋_GB2312" w:hint="eastAsia"/>
          <w:color w:val="000000"/>
          <w:shd w:val="clear" w:color="auto" w:fill="FFFFFF"/>
        </w:rPr>
        <w:t>（市、区）</w:t>
      </w:r>
      <w:r>
        <w:rPr>
          <w:rFonts w:ascii="仿宋_GB2312" w:hAnsi="文星标宋" w:cs="仿宋_GB2312" w:hint="eastAsia"/>
          <w:spacing w:val="8"/>
          <w:shd w:val="clear" w:color="auto" w:fill="FFFFFF"/>
        </w:rPr>
        <w:t>人民政府要履行水污染防治主体责任，负责确定</w:t>
      </w:r>
      <w:r>
        <w:rPr>
          <w:rFonts w:ascii="仿宋_GB2312" w:hAnsi="仿宋_GB2312" w:cs="仿宋_GB2312" w:hint="eastAsia"/>
          <w:color w:val="000000"/>
          <w:shd w:val="clear" w:color="auto" w:fill="FFFFFF"/>
        </w:rPr>
        <w:t>城镇排水与污水处理主管部门（以下简称“城镇排水主管部门”），</w:t>
      </w:r>
      <w:r>
        <w:rPr>
          <w:rFonts w:ascii="仿宋_GB2312" w:hAnsi="仿宋_GB2312" w:cs="仿宋_GB2312" w:hint="eastAsia"/>
          <w:color w:val="000000"/>
          <w:shd w:val="clear" w:color="auto" w:fill="FFFFFF"/>
        </w:rPr>
        <w:t>统筹城镇生活污水设施运行维护和监督管理，分类制定完善设施</w:t>
      </w:r>
      <w:r>
        <w:rPr>
          <w:rFonts w:ascii="仿宋_GB2312" w:hAnsi="仿宋_GB2312" w:cs="仿宋_GB2312" w:hint="eastAsia"/>
          <w:color w:val="000000"/>
          <w:shd w:val="clear" w:color="auto" w:fill="FFFFFF"/>
        </w:rPr>
        <w:lastRenderedPageBreak/>
        <w:t>运行维护制度，科学选择运行维护管理模式，落实设施运行维护经费，明确运行维护主体、范围和标准等。县（市、区）城镇排水主管部门负责建制镇生活污水处理设施运行维护的监督管理，组织对本行政区域内建制镇生活污水处理设施运行维护情况进行考核评估</w:t>
      </w:r>
      <w:r>
        <w:rPr>
          <w:rFonts w:ascii="仿宋_GB2312" w:cs="仿宋_GB2312" w:hint="eastAsia"/>
        </w:rPr>
        <w:t>。</w:t>
      </w:r>
      <w:r>
        <w:rPr>
          <w:rFonts w:ascii="仿宋_GB2312" w:hAnsi="仿宋_GB2312" w:cs="仿宋_GB2312" w:hint="eastAsia"/>
          <w:color w:val="000000"/>
          <w:shd w:val="clear" w:color="auto" w:fill="FFFFFF"/>
        </w:rPr>
        <w:t>县（市、区）城镇排水主管部门可以委托第三方专业机构承担建制镇</w:t>
      </w:r>
      <w:r>
        <w:rPr>
          <w:rFonts w:ascii="仿宋_GB2312" w:hAnsi="仿宋_GB2312" w:cs="仿宋_GB2312" w:hint="eastAsia"/>
          <w:color w:val="000000"/>
          <w:shd w:val="clear" w:color="auto" w:fill="FFFFFF"/>
        </w:rPr>
        <w:t>生活污水处理设施运行维护具体工作。</w:t>
      </w:r>
    </w:p>
    <w:p w:rsidR="004D6D90" w:rsidRDefault="007E298B">
      <w:pPr>
        <w:shd w:val="solid" w:color="FFFFFF" w:fill="auto"/>
        <w:autoSpaceDN w:val="0"/>
        <w:spacing w:line="600" w:lineRule="exact"/>
        <w:ind w:firstLineChars="200" w:firstLine="640"/>
        <w:rPr>
          <w:rFonts w:ascii="仿宋_GB2312" w:hAnsi="仿宋_GB2312" w:cs="仿宋_GB2312"/>
          <w:color w:val="000000"/>
          <w:shd w:val="clear" w:color="auto" w:fill="FFFFFF"/>
        </w:rPr>
      </w:pPr>
      <w:r>
        <w:rPr>
          <w:rFonts w:ascii="黑体" w:eastAsia="黑体" w:hAnsi="黑体" w:cs="黑体" w:hint="eastAsia"/>
          <w:color w:val="000000"/>
          <w:shd w:val="clear" w:color="auto" w:fill="FFFFFF"/>
        </w:rPr>
        <w:t>第五条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生态环境</w:t>
      </w:r>
      <w:r>
        <w:rPr>
          <w:rFonts w:ascii="仿宋_GB2312" w:hAnsi="仿宋_GB2312" w:cs="仿宋_GB2312" w:hint="eastAsia"/>
          <w:color w:val="000000"/>
          <w:shd w:val="clear" w:color="auto" w:fill="FFFFFF"/>
        </w:rPr>
        <w:t>主管</w:t>
      </w:r>
      <w:r>
        <w:rPr>
          <w:rFonts w:ascii="仿宋_GB2312" w:hAnsi="仿宋_GB2312" w:cs="仿宋_GB2312" w:hint="eastAsia"/>
          <w:color w:val="000000"/>
          <w:shd w:val="clear" w:color="auto" w:fill="FFFFFF"/>
        </w:rPr>
        <w:t>部门依法对建制镇生活污水处理设施的出水水质和水量进行执法</w:t>
      </w:r>
      <w:r>
        <w:rPr>
          <w:rFonts w:ascii="仿宋_GB2312" w:hAnsi="仿宋_GB2312" w:cs="仿宋_GB2312" w:hint="eastAsia"/>
          <w:color w:val="000000"/>
          <w:shd w:val="clear" w:color="auto" w:fill="FFFFFF"/>
        </w:rPr>
        <w:t>监督。城镇排水主管部门会同有关部门，按照城镇排水规划，因地制宜指导城镇污水处理设施向周边农村延伸。</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第六条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建制镇人民政府应按照县（市、区）人民政府要求，协助做好建制镇生活污水处理设施运行维护的巡查、检查工作，监督第三方专业机构按要求进行日常运行维护管理。</w:t>
      </w:r>
    </w:p>
    <w:p w:rsidR="004D6D90" w:rsidRDefault="004D6D90">
      <w:pPr>
        <w:shd w:val="solid" w:color="FFFFFF" w:fill="auto"/>
        <w:autoSpaceDN w:val="0"/>
        <w:spacing w:line="600" w:lineRule="exact"/>
        <w:jc w:val="center"/>
        <w:rPr>
          <w:rFonts w:ascii="黑体" w:eastAsia="黑体" w:hAnsi="黑体"/>
          <w:color w:val="000000"/>
          <w:shd w:val="clear" w:color="auto" w:fill="FFFFFF"/>
        </w:rPr>
      </w:pPr>
    </w:p>
    <w:p w:rsidR="004D6D90" w:rsidRDefault="007E298B">
      <w:pPr>
        <w:shd w:val="solid" w:color="FFFFFF" w:fill="auto"/>
        <w:autoSpaceDN w:val="0"/>
        <w:spacing w:line="600" w:lineRule="exact"/>
        <w:jc w:val="center"/>
        <w:rPr>
          <w:rFonts w:ascii="黑体" w:eastAsia="黑体" w:hAnsi="黑体"/>
          <w:color w:val="000000"/>
          <w:shd w:val="clear" w:color="auto" w:fill="FFFFFF"/>
        </w:rPr>
      </w:pPr>
      <w:r>
        <w:rPr>
          <w:rFonts w:ascii="黑体" w:eastAsia="黑体" w:hAnsi="黑体" w:cs="黑体" w:hint="eastAsia"/>
          <w:color w:val="000000"/>
          <w:shd w:val="clear" w:color="auto" w:fill="FFFFFF"/>
        </w:rPr>
        <w:t>第三章</w:t>
      </w:r>
      <w:r>
        <w:rPr>
          <w:rFonts w:ascii="黑体" w:eastAsia="黑体" w:hAnsi="黑体" w:cs="黑体" w:hint="eastAsia"/>
          <w:color w:val="000000"/>
          <w:shd w:val="clear" w:color="auto" w:fill="FFFFFF"/>
        </w:rPr>
        <w:t xml:space="preserve"> </w:t>
      </w:r>
      <w:r>
        <w:rPr>
          <w:rFonts w:ascii="黑体" w:eastAsia="黑体" w:hAnsi="黑体" w:cs="黑体" w:hint="eastAsia"/>
          <w:color w:val="000000"/>
          <w:shd w:val="clear" w:color="auto" w:fill="FFFFFF"/>
        </w:rPr>
        <w:t>运行维护</w:t>
      </w:r>
    </w:p>
    <w:p w:rsidR="004D6D90" w:rsidRDefault="004D6D90">
      <w:pPr>
        <w:shd w:val="solid" w:color="FFFFFF" w:fill="auto"/>
        <w:autoSpaceDN w:val="0"/>
        <w:spacing w:line="600" w:lineRule="exact"/>
        <w:ind w:firstLineChars="200" w:firstLine="640"/>
        <w:rPr>
          <w:rFonts w:ascii="仿宋_GB2312" w:hAnsi="仿宋_GB2312"/>
          <w:color w:val="000000"/>
          <w:shd w:val="clear" w:color="auto" w:fill="FFFFFF"/>
        </w:rPr>
      </w:pPr>
    </w:p>
    <w:p w:rsidR="004D6D90" w:rsidRDefault="007E298B">
      <w:pPr>
        <w:shd w:val="solid" w:color="FFFFFF" w:fill="auto"/>
        <w:autoSpaceDN w:val="0"/>
        <w:spacing w:line="600" w:lineRule="exact"/>
        <w:ind w:firstLineChars="200" w:firstLine="640"/>
        <w:rPr>
          <w:rFonts w:ascii="仿宋_GB2312"/>
        </w:rPr>
      </w:pPr>
      <w:r>
        <w:rPr>
          <w:rFonts w:ascii="黑体" w:eastAsia="黑体" w:hAnsi="黑体" w:cs="黑体" w:hint="eastAsia"/>
          <w:color w:val="000000"/>
          <w:shd w:val="clear" w:color="auto" w:fill="FFFFFF"/>
        </w:rPr>
        <w:t>第七条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科学合理确定建制镇生活污水处理设施运行维护管理模式。鼓励委托第三方专业机构为运行维护单位，运行维护建制镇生活污水处理设施，实施厂（站）网一体化管理。</w:t>
      </w:r>
      <w:r>
        <w:rPr>
          <w:rFonts w:ascii="仿宋_GB2312" w:cs="仿宋_GB2312" w:hint="eastAsia"/>
        </w:rPr>
        <w:t>建立县域统筹，“</w:t>
      </w:r>
      <w:r>
        <w:rPr>
          <w:rFonts w:ascii="仿宋_GB2312" w:cs="仿宋_GB2312"/>
        </w:rPr>
        <w:t>1+N</w:t>
      </w:r>
      <w:r>
        <w:rPr>
          <w:rFonts w:ascii="仿宋_GB2312" w:cs="仿宋_GB2312" w:hint="eastAsia"/>
        </w:rPr>
        <w:t>”管理机制，推动县（市、区）建制镇污水处理厂（站）上下联动、密切配合。</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rPr>
        <w:t>第八条</w:t>
      </w:r>
      <w:r>
        <w:rPr>
          <w:rFonts w:ascii="黑体" w:eastAsia="黑体" w:hAnsi="黑体" w:cs="黑体" w:hint="eastAsia"/>
        </w:rPr>
        <w:t xml:space="preserve"> </w:t>
      </w:r>
      <w:r>
        <w:rPr>
          <w:rFonts w:ascii="仿宋_GB2312" w:cs="仿宋_GB2312" w:hint="eastAsia"/>
        </w:rPr>
        <w:t>市（州）、县（市、区）</w:t>
      </w:r>
      <w:r>
        <w:rPr>
          <w:rFonts w:ascii="仿宋_GB2312" w:hAnsi="仿宋_GB2312" w:cs="仿宋_GB2312" w:hint="eastAsia"/>
          <w:color w:val="000000"/>
          <w:shd w:val="clear" w:color="auto" w:fill="FFFFFF"/>
        </w:rPr>
        <w:t>城镇排水主管部门负责对</w:t>
      </w:r>
      <w:r>
        <w:rPr>
          <w:rFonts w:ascii="仿宋_GB2312" w:hAnsi="仿宋_GB2312" w:cs="仿宋_GB2312" w:hint="eastAsia"/>
          <w:color w:val="000000"/>
          <w:shd w:val="clear" w:color="auto" w:fill="FFFFFF"/>
        </w:rPr>
        <w:lastRenderedPageBreak/>
        <w:t>运维人员免费提供定期的专业技能、法律法规和安全知识培训，每年培训不少于</w:t>
      </w:r>
      <w:r>
        <w:rPr>
          <w:rFonts w:ascii="仿宋_GB2312" w:hAnsi="仿宋_GB2312" w:cs="仿宋_GB2312"/>
          <w:color w:val="000000"/>
          <w:shd w:val="clear" w:color="auto" w:fill="FFFFFF"/>
        </w:rPr>
        <w:t>1</w:t>
      </w:r>
      <w:r>
        <w:rPr>
          <w:rFonts w:ascii="仿宋_GB2312" w:hAnsi="仿宋_GB2312" w:cs="仿宋_GB2312" w:hint="eastAsia"/>
          <w:color w:val="000000"/>
          <w:shd w:val="clear" w:color="auto" w:fill="FFFFFF"/>
        </w:rPr>
        <w:t>次。</w:t>
      </w:r>
      <w:r>
        <w:rPr>
          <w:rFonts w:ascii="仿宋_GB2312" w:cs="仿宋_GB2312" w:hint="eastAsia"/>
        </w:rPr>
        <w:t>市（州）、县（市、区）</w:t>
      </w:r>
      <w:r>
        <w:rPr>
          <w:rFonts w:ascii="仿宋_GB2312" w:hAnsi="仿宋_GB2312" w:cs="仿宋_GB2312" w:hint="eastAsia"/>
          <w:color w:val="000000"/>
          <w:shd w:val="clear" w:color="auto" w:fill="FFFFFF"/>
        </w:rPr>
        <w:t>城镇排水主管部门可以按照规定以政府购买服务等方式委托行业协会、高等院校以及其他社会机构承担培训、考核等具体组织实施工作。</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第九条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建制镇生活污水处理设施运行维护应当包括以下设施的日常检查、清理、疏通、养护和维修等。（一）户用收集系统：接户管、接户井等。（二）公共收集系统：收集池、排水管、检查井、截流井、提升泵站等。（三）污水处理设施：预处理设施、生物处理设施、深度处理设施、一体化预制设备、附属设施等。（四）其他设施：污泥暂存、标识牌、围栏等设施。</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运行维护单位依照法律法规、标准规范和合同约定，制订运行维护手册、操作规程和工作制度。建立运行维护管理台账，详细记录巡查、设备检修及养护、运行故障及处理结果、进出水水量及水质监测、物资使用及污泥处理、运输、处置等内容。管网运行维护单位负责污水管网的日常维护、制定巡检、养护、管道清淤、修理制度，保障建制镇管网正常运行，结合管网建设和改造，优化管网接入服务，打通管网建设的“最后一米”，提升污水集中收集率，改善污水进水水质。</w:t>
      </w:r>
    </w:p>
    <w:p w:rsidR="004D6D90" w:rsidRDefault="007E298B">
      <w:pPr>
        <w:shd w:val="solid" w:color="FFFFFF" w:fill="auto"/>
        <w:autoSpaceDN w:val="0"/>
        <w:spacing w:line="600" w:lineRule="exact"/>
        <w:ind w:firstLineChars="200" w:firstLine="640"/>
        <w:rPr>
          <w:rFonts w:ascii="仿宋_GB2312" w:hAnsi="仿宋_GB2312" w:cs="仿宋_GB2312"/>
          <w:color w:val="000000"/>
          <w:shd w:val="clear" w:color="auto" w:fill="FFFFFF"/>
        </w:rPr>
      </w:pPr>
      <w:r>
        <w:rPr>
          <w:rFonts w:ascii="黑体" w:eastAsia="黑体" w:hAnsi="黑体" w:cs="黑体" w:hint="eastAsia"/>
          <w:color w:val="000000"/>
          <w:shd w:val="clear" w:color="auto" w:fill="FFFFFF"/>
        </w:rPr>
        <w:t>第十一条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县（市、区）城镇排水主管部门应会同运行维护单位对向排入生活污水管网的工业企业进水</w:t>
      </w:r>
      <w:r>
        <w:rPr>
          <w:rFonts w:ascii="仿宋_GB2312" w:hAnsi="仿宋_GB2312" w:cs="仿宋_GB2312" w:hint="eastAsia"/>
          <w:color w:val="000000"/>
          <w:shd w:val="clear" w:color="auto" w:fill="FFFFFF"/>
        </w:rPr>
        <w:t>水质开展定期监测，对监测结果进行评估分析，当进水水质超</w:t>
      </w:r>
      <w:r>
        <w:rPr>
          <w:rFonts w:ascii="仿宋_GB2312" w:hAnsi="仿宋_GB2312" w:cs="仿宋_GB2312" w:hint="eastAsia"/>
          <w:shd w:val="clear" w:color="auto" w:fill="FFFFFF"/>
        </w:rPr>
        <w:t>过现行国家《污水</w:t>
      </w:r>
      <w:r>
        <w:rPr>
          <w:rFonts w:ascii="仿宋_GB2312" w:hAnsi="仿宋_GB2312" w:cs="仿宋_GB2312" w:hint="eastAsia"/>
          <w:color w:val="000000"/>
          <w:shd w:val="clear" w:color="auto" w:fill="FFFFFF"/>
        </w:rPr>
        <w:t>排入城镇下水道水质标准》规定的控制指标时，运行维护单位应当及</w:t>
      </w:r>
      <w:r>
        <w:rPr>
          <w:rFonts w:ascii="仿宋_GB2312" w:hAnsi="仿宋_GB2312" w:cs="仿宋_GB2312" w:hint="eastAsia"/>
          <w:color w:val="000000"/>
          <w:shd w:val="clear" w:color="auto" w:fill="FFFFFF"/>
        </w:rPr>
        <w:lastRenderedPageBreak/>
        <w:t>时向县（市、区）城镇排水主管部门和生态环境主管部门报告。对经评估分析认定不能达到污水排入排水管网许可相关要求的工业排水户，县（市、区）城镇排水主管部门应依法责令限期完成整改，依法处罚超排、偷排工业排水户。县（市、区）城镇排水主管部门要严格污水排入排水管网许可制度，依法处罚未取得排水许可排放污水、不按照许可要求排放污水的工业企业。</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第十二条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委托第三方专业机构的，应签订运行维护服务</w:t>
      </w:r>
      <w:r>
        <w:rPr>
          <w:rFonts w:ascii="仿宋_GB2312" w:hAnsi="仿宋_GB2312" w:cs="仿宋_GB2312" w:hint="eastAsia"/>
          <w:color w:val="000000"/>
          <w:shd w:val="clear" w:color="auto" w:fill="FFFFFF"/>
        </w:rPr>
        <w:t>合同，明确双方权利义务。运行维护服务合同应明确运行维护范围、期限、巡查检查、清渣清淤、设备检测维修、处理水量、出水水质、应急维修、设施交付条件等具体要求，包括运行维护费用来源及保障、违约责任等内容。第三方专业机构应具备如下条件：（一）有法人资格。（二）有与从事污水处理设施运行维护活动相适应的资金和设备。（三）有完善的运维管理和安全管理制度。（四）技术负责人和关键岗位人员经专业培训并考核合格。（五）有相应的良好业绩和运行维护经验。（六）法律、法规规定的其他条件。</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第十三条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运行维护单位应当依照法律、法规和有关规定以及运行维护合同进行运行维护，定期向社会公开有关运行维护信息，接受相关部门和社会公众的监督。</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第十四条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运行维护单位应在建制镇生活污水处理设施周围设立规范的围栏，并在明显处悬挂公示牌，注明名称、规模、工艺、处理能力、管网路由、汇水区域和出水标准、运行维护单位</w:t>
      </w:r>
      <w:r>
        <w:rPr>
          <w:rFonts w:ascii="仿宋_GB2312" w:hAnsi="仿宋_GB2312" w:cs="仿宋_GB2312" w:hint="eastAsia"/>
          <w:color w:val="000000"/>
          <w:shd w:val="clear" w:color="auto" w:fill="FFFFFF"/>
        </w:rPr>
        <w:lastRenderedPageBreak/>
        <w:t>及运行维护期限、城镇排水主管部门、负责人及监督电话等内容。公示牌样式由各市（州）自行确定。</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第十五条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运行维护单位不得擅自停运污水处理设施，因检修等原因需要停运或者部分停运的，应将停</w:t>
      </w:r>
      <w:r>
        <w:rPr>
          <w:rFonts w:ascii="仿宋_GB2312" w:hAnsi="仿宋_GB2312" w:cs="仿宋_GB2312" w:hint="eastAsia"/>
          <w:color w:val="000000"/>
          <w:shd w:val="clear" w:color="auto" w:fill="FFFFFF"/>
        </w:rPr>
        <w:t>运原因、采取的相应处理措施等，于</w:t>
      </w:r>
      <w:r>
        <w:rPr>
          <w:rFonts w:ascii="仿宋_GB2312" w:hAnsi="仿宋_GB2312" w:cs="仿宋_GB2312"/>
          <w:color w:val="000000"/>
          <w:shd w:val="clear" w:color="auto" w:fill="FFFFFF"/>
        </w:rPr>
        <w:t>90</w:t>
      </w:r>
      <w:r>
        <w:rPr>
          <w:rFonts w:ascii="仿宋_GB2312" w:hAnsi="仿宋_GB2312" w:cs="仿宋_GB2312" w:hint="eastAsia"/>
          <w:color w:val="000000"/>
          <w:shd w:val="clear" w:color="auto" w:fill="FFFFFF"/>
        </w:rPr>
        <w:t>个工作日内向城镇排水主管部门、生态环境</w:t>
      </w:r>
      <w:r>
        <w:rPr>
          <w:rFonts w:ascii="仿宋_GB2312" w:hAnsi="仿宋_GB2312" w:cs="仿宋_GB2312" w:hint="eastAsia"/>
          <w:color w:val="000000"/>
          <w:shd w:val="clear" w:color="auto" w:fill="FFFFFF"/>
        </w:rPr>
        <w:t>主管</w:t>
      </w:r>
      <w:r>
        <w:rPr>
          <w:rFonts w:ascii="仿宋_GB2312" w:hAnsi="仿宋_GB2312" w:cs="仿宋_GB2312" w:hint="eastAsia"/>
          <w:color w:val="000000"/>
          <w:shd w:val="clear" w:color="auto" w:fill="FFFFFF"/>
        </w:rPr>
        <w:t>部门报告。因构筑物、建筑物和设备老化需检查、维护的，尽量合理安排检修。因事故或者突发事件无法保障出水水质正常达标的，运行维护单位应当立即采取应急处理措施，在</w:t>
      </w:r>
      <w:r>
        <w:rPr>
          <w:rFonts w:ascii="仿宋_GB2312" w:hAnsi="仿宋_GB2312" w:cs="仿宋_GB2312"/>
          <w:color w:val="000000"/>
          <w:shd w:val="clear" w:color="auto" w:fill="FFFFFF"/>
        </w:rPr>
        <w:t xml:space="preserve"> 24 </w:t>
      </w:r>
      <w:r>
        <w:rPr>
          <w:rFonts w:ascii="仿宋_GB2312" w:hAnsi="仿宋_GB2312" w:cs="仿宋_GB2312" w:hint="eastAsia"/>
          <w:color w:val="000000"/>
          <w:shd w:val="clear" w:color="auto" w:fill="FFFFFF"/>
        </w:rPr>
        <w:t>小时内向县（市、区）生态环境</w:t>
      </w:r>
      <w:r>
        <w:rPr>
          <w:rFonts w:ascii="仿宋_GB2312" w:hAnsi="仿宋_GB2312" w:cs="仿宋_GB2312" w:hint="eastAsia"/>
          <w:color w:val="000000"/>
          <w:shd w:val="clear" w:color="auto" w:fill="FFFFFF"/>
        </w:rPr>
        <w:t>主管</w:t>
      </w:r>
      <w:r>
        <w:rPr>
          <w:rFonts w:ascii="仿宋_GB2312" w:hAnsi="仿宋_GB2312" w:cs="仿宋_GB2312" w:hint="eastAsia"/>
          <w:color w:val="000000"/>
          <w:shd w:val="clear" w:color="auto" w:fill="FFFFFF"/>
        </w:rPr>
        <w:t>部门和城镇排水主管部门报告，县（市、区）</w:t>
      </w:r>
      <w:r>
        <w:rPr>
          <w:rFonts w:ascii="仿宋_GB2312" w:hAnsi="宋体" w:hint="eastAsia"/>
        </w:rPr>
        <w:t>生态环境</w:t>
      </w:r>
      <w:r>
        <w:rPr>
          <w:rFonts w:ascii="仿宋_GB2312" w:hAnsi="宋体" w:hint="eastAsia"/>
        </w:rPr>
        <w:t>主管</w:t>
      </w:r>
      <w:r>
        <w:rPr>
          <w:rFonts w:ascii="仿宋_GB2312" w:hAnsi="宋体" w:hint="eastAsia"/>
        </w:rPr>
        <w:t>部门和城镇排水主管部门接到</w:t>
      </w:r>
      <w:r>
        <w:rPr>
          <w:rFonts w:ascii="仿宋_GB2312" w:hAnsi="仿宋_GB2312" w:cs="仿宋_GB2312" w:hint="eastAsia"/>
          <w:color w:val="000000"/>
          <w:shd w:val="clear" w:color="auto" w:fill="FFFFFF"/>
        </w:rPr>
        <w:t>报告</w:t>
      </w:r>
      <w:r>
        <w:rPr>
          <w:rFonts w:ascii="仿宋_GB2312" w:hAnsi="宋体" w:hint="eastAsia"/>
        </w:rPr>
        <w:t>后，应当及时核查处理。</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第十六条</w:t>
      </w:r>
      <w:r>
        <w:rPr>
          <w:rFonts w:ascii="仿宋_GB2312" w:hAnsi="仿宋_GB2312" w:cs="仿宋_GB2312" w:hint="eastAsia"/>
          <w:color w:val="000000"/>
          <w:shd w:val="clear" w:color="auto" w:fill="FFFFFF"/>
        </w:rPr>
        <w:t xml:space="preserve"> </w:t>
      </w:r>
      <w:r>
        <w:rPr>
          <w:rFonts w:ascii="仿宋_GB2312" w:hAnsi="仿宋_GB2312" w:cs="仿宋_GB2312" w:hint="eastAsia"/>
          <w:color w:val="000000"/>
          <w:shd w:val="clear" w:color="auto" w:fill="FFFFFF"/>
        </w:rPr>
        <w:t>运行维护单位应当保证污水处理厂（站）出水水质达到国家和地方规定的排放标准，不得排放不达标污水。</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第十七条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运行维护单位应当按照国家有关规定检测进出水水质，</w:t>
      </w:r>
      <w:r>
        <w:rPr>
          <w:rFonts w:ascii="仿宋_GB2312" w:hAnsi="仿宋_GB2312" w:cs="仿宋_GB2312" w:hint="eastAsia"/>
          <w:color w:val="000000"/>
          <w:shd w:val="clear" w:color="auto" w:fill="FFFFFF"/>
        </w:rPr>
        <w:t>向城镇排水主管部门、</w:t>
      </w:r>
      <w:r>
        <w:rPr>
          <w:rFonts w:ascii="仿宋_GB2312" w:hAnsi="仿宋_GB2312" w:cs="仿宋_GB2312" w:hint="eastAsia"/>
          <w:color w:val="000000"/>
          <w:shd w:val="clear" w:color="auto" w:fill="FFFFFF"/>
        </w:rPr>
        <w:t>生态环境</w:t>
      </w:r>
      <w:r>
        <w:rPr>
          <w:rFonts w:ascii="仿宋_GB2312" w:hAnsi="仿宋_GB2312" w:cs="仿宋_GB2312" w:hint="eastAsia"/>
          <w:color w:val="000000"/>
          <w:shd w:val="clear" w:color="auto" w:fill="FFFFFF"/>
        </w:rPr>
        <w:t>主管部门报送污水处理水质和水量、主要污染物削减量等信息，并按照有关规定和运</w:t>
      </w:r>
      <w:r>
        <w:rPr>
          <w:rFonts w:ascii="仿宋_GB2312" w:hAnsi="仿宋_GB2312" w:cs="仿宋_GB2312" w:hint="eastAsia"/>
          <w:color w:val="000000"/>
          <w:shd w:val="clear" w:color="auto" w:fill="FFFFFF"/>
        </w:rPr>
        <w:t>行维护合同，向城镇排水主管部门报送生产运营成本等信息。</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第十八条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运行维护单位应结合实际，科学选择污泥处理技术，合理进行污泥处置。对处理处置后的污泥及其副产物的去向、用途、用量等进行跟踪、记录，并</w:t>
      </w:r>
      <w:r>
        <w:rPr>
          <w:rFonts w:ascii="仿宋_GB2312" w:hAnsi="宋体" w:hint="eastAsia"/>
        </w:rPr>
        <w:t>定期向城镇排水主管部门、生态环境主管部门报告</w:t>
      </w:r>
      <w:r>
        <w:rPr>
          <w:rFonts w:ascii="仿宋_GB2312" w:hAnsi="仿宋_GB2312" w:cs="仿宋_GB2312" w:hint="eastAsia"/>
          <w:color w:val="000000"/>
          <w:shd w:val="clear" w:color="auto" w:fill="FFFFFF"/>
        </w:rPr>
        <w:t>，相关资料要保存完好，以备核查。</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第十九条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任何单位或者个人不得擅自改建、迁移、拆除建</w:t>
      </w:r>
      <w:r>
        <w:rPr>
          <w:rFonts w:ascii="仿宋_GB2312" w:hAnsi="仿宋_GB2312" w:cs="仿宋_GB2312" w:hint="eastAsia"/>
          <w:color w:val="000000"/>
          <w:shd w:val="clear" w:color="auto" w:fill="FFFFFF"/>
        </w:rPr>
        <w:lastRenderedPageBreak/>
        <w:t>制镇生活污水处理设施。</w:t>
      </w:r>
    </w:p>
    <w:p w:rsidR="004D6D90" w:rsidRDefault="004D6D90">
      <w:pPr>
        <w:shd w:val="solid" w:color="FFFFFF" w:fill="auto"/>
        <w:autoSpaceDN w:val="0"/>
        <w:spacing w:line="600" w:lineRule="exact"/>
        <w:rPr>
          <w:rFonts w:ascii="仿宋_GB2312" w:hAnsi="仿宋_GB2312"/>
          <w:color w:val="000000"/>
          <w:shd w:val="clear" w:color="auto" w:fill="FFFFFF"/>
        </w:rPr>
      </w:pPr>
    </w:p>
    <w:p w:rsidR="004D6D90" w:rsidRDefault="007E298B">
      <w:pPr>
        <w:shd w:val="solid" w:color="FFFFFF" w:fill="auto"/>
        <w:autoSpaceDN w:val="0"/>
        <w:spacing w:line="600" w:lineRule="exact"/>
        <w:jc w:val="center"/>
        <w:rPr>
          <w:rFonts w:ascii="黑体" w:eastAsia="黑体" w:hAnsi="黑体"/>
          <w:color w:val="000000"/>
          <w:shd w:val="clear" w:color="auto" w:fill="FFFFFF"/>
        </w:rPr>
      </w:pPr>
      <w:r>
        <w:rPr>
          <w:rFonts w:ascii="黑体" w:eastAsia="黑体" w:hAnsi="黑体" w:cs="黑体" w:hint="eastAsia"/>
          <w:color w:val="000000"/>
          <w:shd w:val="clear" w:color="auto" w:fill="FFFFFF"/>
        </w:rPr>
        <w:t>第四章</w:t>
      </w:r>
      <w:r>
        <w:rPr>
          <w:rFonts w:ascii="黑体" w:eastAsia="黑体" w:hAnsi="黑体" w:cs="黑体" w:hint="eastAsia"/>
          <w:color w:val="000000"/>
          <w:shd w:val="clear" w:color="auto" w:fill="FFFFFF"/>
        </w:rPr>
        <w:t xml:space="preserve"> </w:t>
      </w:r>
      <w:r>
        <w:rPr>
          <w:rFonts w:ascii="黑体" w:eastAsia="黑体" w:hAnsi="黑体" w:cs="黑体" w:hint="eastAsia"/>
          <w:color w:val="000000"/>
          <w:shd w:val="clear" w:color="auto" w:fill="FFFFFF"/>
        </w:rPr>
        <w:t>监督考核</w:t>
      </w:r>
    </w:p>
    <w:p w:rsidR="004D6D90" w:rsidRDefault="004D6D90">
      <w:pPr>
        <w:shd w:val="solid" w:color="FFFFFF" w:fill="auto"/>
        <w:autoSpaceDN w:val="0"/>
        <w:spacing w:line="600" w:lineRule="exact"/>
        <w:jc w:val="center"/>
        <w:rPr>
          <w:rFonts w:ascii="黑体" w:eastAsia="黑体" w:hAnsi="黑体"/>
          <w:color w:val="000000"/>
          <w:shd w:val="clear" w:color="auto" w:fill="FFFFFF"/>
        </w:rPr>
      </w:pPr>
    </w:p>
    <w:p w:rsidR="004D6D90" w:rsidRDefault="007E298B">
      <w:pPr>
        <w:spacing w:line="600" w:lineRule="exact"/>
        <w:ind w:firstLineChars="200" w:firstLine="640"/>
        <w:contextualSpacing/>
        <w:rPr>
          <w:rFonts w:ascii="仿宋_GB2312"/>
          <w:color w:val="000000"/>
          <w:shd w:val="clear" w:color="auto" w:fill="FFFFFF"/>
        </w:rPr>
      </w:pPr>
      <w:r>
        <w:rPr>
          <w:rFonts w:ascii="黑体" w:eastAsia="黑体" w:hAnsi="黑体" w:cs="黑体" w:hint="eastAsia"/>
          <w:color w:val="000000"/>
          <w:shd w:val="clear" w:color="auto" w:fill="FFFFFF"/>
        </w:rPr>
        <w:t>第二十条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省住房和城乡建设厅、省生态环境厅采取“四不两直”等方式加强日常监管和指导帮扶。市（州）城镇排水主管部门可会同市直相关部门要对辖区内建制镇生活污水处理设施运行维护情况每年至少开展一次检查，对发现的问题，向县（市、区）城镇排水主管部门提出限期整改要求，逾期未整改到位的，由市（州）城镇排水主管部门通报批评或约谈相关责任人。</w:t>
      </w:r>
    </w:p>
    <w:p w:rsidR="004D6D90" w:rsidRDefault="004D6D90">
      <w:pPr>
        <w:shd w:val="solid" w:color="FFFFFF" w:fill="auto"/>
        <w:autoSpaceDN w:val="0"/>
        <w:spacing w:line="600" w:lineRule="exact"/>
        <w:rPr>
          <w:rFonts w:ascii="黑体" w:eastAsia="黑体" w:hAnsi="黑体"/>
          <w:color w:val="000000"/>
          <w:shd w:val="clear" w:color="auto" w:fill="FFFFFF"/>
        </w:rPr>
      </w:pPr>
    </w:p>
    <w:p w:rsidR="004D6D90" w:rsidRDefault="004D6D90">
      <w:pPr>
        <w:shd w:val="solid" w:color="FFFFFF" w:fill="auto"/>
        <w:autoSpaceDN w:val="0"/>
        <w:spacing w:line="600" w:lineRule="exact"/>
        <w:jc w:val="center"/>
        <w:rPr>
          <w:rFonts w:ascii="黑体" w:eastAsia="黑体" w:hAnsi="黑体" w:cs="黑体"/>
          <w:color w:val="000000"/>
          <w:shd w:val="clear" w:color="auto" w:fill="FFFFFF"/>
        </w:rPr>
      </w:pPr>
    </w:p>
    <w:p w:rsidR="004D6D90" w:rsidRDefault="007E298B">
      <w:pPr>
        <w:shd w:val="solid" w:color="FFFFFF" w:fill="auto"/>
        <w:autoSpaceDN w:val="0"/>
        <w:spacing w:line="600" w:lineRule="exact"/>
        <w:jc w:val="center"/>
        <w:rPr>
          <w:rFonts w:ascii="黑体" w:eastAsia="黑体" w:hAnsi="黑体"/>
          <w:color w:val="000000"/>
          <w:shd w:val="clear" w:color="auto" w:fill="FFFFFF"/>
        </w:rPr>
      </w:pPr>
      <w:r>
        <w:rPr>
          <w:rFonts w:ascii="黑体" w:eastAsia="黑体" w:hAnsi="黑体" w:cs="黑体" w:hint="eastAsia"/>
          <w:color w:val="000000"/>
          <w:shd w:val="clear" w:color="auto" w:fill="FFFFFF"/>
        </w:rPr>
        <w:t>第五章</w:t>
      </w:r>
      <w:r>
        <w:rPr>
          <w:rFonts w:ascii="黑体" w:eastAsia="黑体" w:hAnsi="黑体" w:cs="黑体" w:hint="eastAsia"/>
          <w:color w:val="000000"/>
          <w:shd w:val="clear" w:color="auto" w:fill="FFFFFF"/>
        </w:rPr>
        <w:t xml:space="preserve"> </w:t>
      </w:r>
      <w:r>
        <w:rPr>
          <w:rFonts w:ascii="黑体" w:eastAsia="黑体" w:hAnsi="黑体" w:cs="黑体" w:hint="eastAsia"/>
          <w:color w:val="000000"/>
          <w:shd w:val="clear" w:color="auto" w:fill="FFFFFF"/>
        </w:rPr>
        <w:t>资金保障</w:t>
      </w:r>
    </w:p>
    <w:p w:rsidR="004D6D90" w:rsidRDefault="004D6D90">
      <w:pPr>
        <w:shd w:val="solid" w:color="FFFFFF" w:fill="auto"/>
        <w:autoSpaceDN w:val="0"/>
        <w:spacing w:line="600" w:lineRule="exact"/>
        <w:jc w:val="center"/>
        <w:rPr>
          <w:rFonts w:ascii="黑体" w:eastAsia="黑体" w:hAnsi="黑体"/>
          <w:color w:val="000000"/>
          <w:shd w:val="clear" w:color="auto" w:fill="FFFFFF"/>
        </w:rPr>
      </w:pPr>
    </w:p>
    <w:p w:rsidR="004D6D90" w:rsidRDefault="007E298B">
      <w:pPr>
        <w:shd w:val="solid" w:color="FFFFFF" w:fill="auto"/>
        <w:autoSpaceDN w:val="0"/>
        <w:spacing w:line="600" w:lineRule="exact"/>
        <w:ind w:firstLineChars="200" w:firstLine="640"/>
        <w:rPr>
          <w:rFonts w:ascii="仿宋_GB2312" w:hAnsi="仿宋_GB2312" w:cs="仿宋_GB2312"/>
          <w:color w:val="000000"/>
          <w:shd w:val="clear" w:color="auto" w:fill="FFFFFF"/>
        </w:rPr>
      </w:pPr>
      <w:r>
        <w:rPr>
          <w:rFonts w:ascii="黑体" w:eastAsia="黑体" w:hAnsi="黑体" w:cs="黑体" w:hint="eastAsia"/>
          <w:color w:val="000000"/>
          <w:shd w:val="clear" w:color="auto" w:fill="FFFFFF"/>
        </w:rPr>
        <w:t>第二十一条</w:t>
      </w:r>
      <w:r>
        <w:rPr>
          <w:rFonts w:ascii="仿宋_GB2312" w:hAnsi="仿宋_GB2312" w:cs="仿宋_GB2312" w:hint="eastAsia"/>
          <w:color w:val="000000"/>
          <w:shd w:val="clear" w:color="auto" w:fill="FFFFFF"/>
        </w:rPr>
        <w:t xml:space="preserve"> </w:t>
      </w:r>
      <w:r>
        <w:rPr>
          <w:rFonts w:ascii="仿宋_GB2312" w:hAnsi="仿宋_GB2312" w:cs="仿宋_GB2312" w:hint="eastAsia"/>
          <w:color w:val="000000"/>
          <w:shd w:val="clear" w:color="auto" w:fill="FFFFFF"/>
        </w:rPr>
        <w:t>污水处理费应当纳入地方财政预算管理，专项用于本地区城镇污水处理设施的建设、运行和污泥处理。</w:t>
      </w:r>
    </w:p>
    <w:p w:rsidR="004D6D90" w:rsidRDefault="007E298B">
      <w:pPr>
        <w:shd w:val="solid" w:color="FFFFFF" w:fill="auto"/>
        <w:autoSpaceDN w:val="0"/>
        <w:spacing w:line="600" w:lineRule="exact"/>
        <w:ind w:firstLineChars="200" w:firstLine="640"/>
        <w:rPr>
          <w:rFonts w:ascii="仿宋_GB2312" w:hAnsi="仿宋_GB2312" w:cs="仿宋_GB2312"/>
          <w:color w:val="000000"/>
          <w:shd w:val="clear" w:color="auto" w:fill="FFFFFF"/>
        </w:rPr>
      </w:pPr>
      <w:r>
        <w:rPr>
          <w:rFonts w:ascii="黑体" w:eastAsia="黑体" w:hAnsi="黑体" w:cs="黑体" w:hint="eastAsia"/>
          <w:color w:val="000000"/>
          <w:shd w:val="clear" w:color="auto" w:fill="FFFFFF"/>
        </w:rPr>
        <w:t>第二十二条</w:t>
      </w:r>
      <w:r>
        <w:rPr>
          <w:rFonts w:ascii="仿宋_GB2312" w:hAnsi="仿宋_GB2312" w:cs="仿宋_GB2312" w:hint="eastAsia"/>
          <w:color w:val="000000"/>
          <w:shd w:val="clear" w:color="auto" w:fill="FFFFFF"/>
        </w:rPr>
        <w:t xml:space="preserve"> </w:t>
      </w:r>
      <w:r>
        <w:rPr>
          <w:rFonts w:ascii="仿宋_GB2312" w:hAnsi="仿宋_GB2312" w:cs="仿宋_GB2312" w:hint="eastAsia"/>
          <w:color w:val="000000"/>
          <w:shd w:val="clear" w:color="auto" w:fill="FFFFFF"/>
        </w:rPr>
        <w:t>县（市、区）政府相关部门应当加强污水处理设施运行维护</w:t>
      </w:r>
      <w:r>
        <w:rPr>
          <w:rFonts w:ascii="仿宋_GB2312" w:hAnsi="仿宋_GB2312" w:cs="仿宋_GB2312" w:hint="eastAsia"/>
          <w:color w:val="000000"/>
          <w:shd w:val="clear" w:color="auto" w:fill="FFFFFF"/>
        </w:rPr>
        <w:t>经费的使用管理，任何单位和个人不得截留、挤占、挪用资金。</w:t>
      </w:r>
    </w:p>
    <w:p w:rsidR="004D6D90" w:rsidRDefault="004D6D90">
      <w:pPr>
        <w:shd w:val="solid" w:color="FFFFFF" w:fill="auto"/>
        <w:autoSpaceDN w:val="0"/>
        <w:spacing w:line="600" w:lineRule="exact"/>
        <w:ind w:firstLineChars="200" w:firstLine="640"/>
        <w:rPr>
          <w:rFonts w:ascii="仿宋_GB2312" w:hAnsi="仿宋_GB2312"/>
          <w:color w:val="000000"/>
          <w:shd w:val="clear" w:color="auto" w:fill="FFFFFF"/>
        </w:rPr>
      </w:pPr>
    </w:p>
    <w:p w:rsidR="004D6D90" w:rsidRDefault="007E298B">
      <w:pPr>
        <w:numPr>
          <w:ilvl w:val="0"/>
          <w:numId w:val="1"/>
        </w:numPr>
        <w:shd w:val="solid" w:color="FFFFFF" w:fill="auto"/>
        <w:autoSpaceDN w:val="0"/>
        <w:spacing w:line="600" w:lineRule="exact"/>
        <w:jc w:val="center"/>
        <w:rPr>
          <w:rFonts w:ascii="黑体" w:eastAsia="黑体" w:hAnsi="黑体"/>
          <w:color w:val="000000"/>
          <w:shd w:val="clear" w:color="auto" w:fill="FFFFFF"/>
        </w:rPr>
      </w:pPr>
      <w:r>
        <w:rPr>
          <w:rFonts w:ascii="黑体" w:eastAsia="黑体" w:hAnsi="黑体" w:cs="黑体" w:hint="eastAsia"/>
          <w:color w:val="000000"/>
          <w:shd w:val="clear" w:color="auto" w:fill="FFFFFF"/>
        </w:rPr>
        <w:t>附则</w:t>
      </w:r>
    </w:p>
    <w:p w:rsidR="004D6D90" w:rsidRDefault="004D6D90">
      <w:pPr>
        <w:shd w:val="solid" w:color="FFFFFF" w:fill="auto"/>
        <w:autoSpaceDN w:val="0"/>
        <w:spacing w:line="600" w:lineRule="exact"/>
        <w:rPr>
          <w:rFonts w:ascii="黑体" w:eastAsia="黑体" w:hAnsi="黑体"/>
          <w:color w:val="000000"/>
          <w:shd w:val="clear" w:color="auto" w:fill="FFFFFF"/>
        </w:rPr>
      </w:pPr>
    </w:p>
    <w:p w:rsidR="004D6D90" w:rsidRDefault="007E298B">
      <w:pPr>
        <w:shd w:val="solid" w:color="FFFFFF" w:fill="auto"/>
        <w:autoSpaceDN w:val="0"/>
        <w:spacing w:line="600" w:lineRule="exact"/>
        <w:ind w:firstLineChars="200" w:firstLine="640"/>
        <w:rPr>
          <w:rFonts w:ascii="仿宋_GB2312" w:hAnsi="仿宋_GB2312" w:cs="仿宋_GB2312"/>
          <w:color w:val="000000"/>
          <w:shd w:val="clear" w:color="auto" w:fill="FFFFFF"/>
        </w:rPr>
      </w:pPr>
      <w:r>
        <w:rPr>
          <w:rFonts w:ascii="黑体" w:eastAsia="黑体" w:hAnsi="黑体" w:cs="黑体" w:hint="eastAsia"/>
          <w:color w:val="000000"/>
          <w:shd w:val="clear" w:color="auto" w:fill="FFFFFF"/>
        </w:rPr>
        <w:lastRenderedPageBreak/>
        <w:t>第二十三条</w:t>
      </w:r>
      <w:r>
        <w:rPr>
          <w:rFonts w:ascii="黑体" w:eastAsia="黑体" w:hAnsi="黑体" w:cs="黑体" w:hint="eastAsia"/>
          <w:color w:val="000000"/>
          <w:shd w:val="clear" w:color="auto" w:fill="FFFFFF"/>
        </w:rPr>
        <w:t xml:space="preserve"> </w:t>
      </w:r>
      <w:r>
        <w:rPr>
          <w:rFonts w:ascii="仿宋_GB2312" w:hAnsi="仿宋_GB2312" w:cs="仿宋_GB2312" w:hint="eastAsia"/>
          <w:color w:val="000000"/>
          <w:shd w:val="clear" w:color="auto" w:fill="FFFFFF"/>
        </w:rPr>
        <w:t>已建成的街道生活污水处理厂（站）及相应配套设施，参照本办法执行。</w:t>
      </w:r>
    </w:p>
    <w:p w:rsidR="004D6D90" w:rsidRDefault="007E298B">
      <w:pPr>
        <w:shd w:val="solid" w:color="FFFFFF" w:fill="auto"/>
        <w:autoSpaceDN w:val="0"/>
        <w:spacing w:line="600" w:lineRule="exact"/>
        <w:ind w:firstLineChars="200" w:firstLine="640"/>
        <w:rPr>
          <w:rFonts w:ascii="仿宋_GB2312" w:hAnsi="仿宋_GB2312"/>
          <w:color w:val="000000"/>
          <w:shd w:val="clear" w:color="auto" w:fill="FFFFFF"/>
        </w:rPr>
      </w:pPr>
      <w:r>
        <w:rPr>
          <w:rFonts w:ascii="黑体" w:eastAsia="黑体" w:hAnsi="黑体" w:cs="黑体" w:hint="eastAsia"/>
          <w:color w:val="000000"/>
          <w:shd w:val="clear" w:color="auto" w:fill="FFFFFF"/>
        </w:rPr>
        <w:t>第二十四条</w:t>
      </w:r>
      <w:r>
        <w:rPr>
          <w:rFonts w:ascii="黑体" w:eastAsia="黑体" w:hAnsi="黑体" w:cs="黑体" w:hint="eastAsia"/>
          <w:color w:val="000000"/>
          <w:shd w:val="clear" w:color="auto" w:fill="FFFFFF"/>
        </w:rPr>
        <w:t xml:space="preserve"> </w:t>
      </w:r>
      <w:r>
        <w:rPr>
          <w:rFonts w:ascii="仿宋_GB2312" w:hAnsi="仿宋_GB2312" w:cs="仿宋_GB2312" w:hint="eastAsia"/>
          <w:snapToGrid w:val="0"/>
          <w:color w:val="0F0F0F"/>
        </w:rPr>
        <w:t>本办法自印发之日起施行。</w:t>
      </w:r>
    </w:p>
    <w:p w:rsidR="004D6D90" w:rsidRDefault="004D6D90">
      <w:pPr>
        <w:shd w:val="solid" w:color="FFFFFF" w:fill="auto"/>
        <w:autoSpaceDN w:val="0"/>
        <w:spacing w:line="620" w:lineRule="exact"/>
        <w:ind w:firstLineChars="200" w:firstLine="640"/>
        <w:rPr>
          <w:rFonts w:ascii="仿宋_GB2312"/>
          <w:snapToGrid w:val="0"/>
          <w:color w:val="0F0F0F"/>
        </w:rPr>
      </w:pPr>
    </w:p>
    <w:sectPr w:rsidR="004D6D90" w:rsidSect="004D6D90">
      <w:footerReference w:type="default" r:id="rId8"/>
      <w:pgSz w:w="11906" w:h="16838"/>
      <w:pgMar w:top="1985" w:right="1531" w:bottom="1418" w:left="1531" w:header="851" w:footer="1222" w:gutter="0"/>
      <w:pgNumType w:fmt="numberInDash"/>
      <w:cols w:space="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8B" w:rsidRDefault="007E298B" w:rsidP="004D6D90">
      <w:r>
        <w:separator/>
      </w:r>
    </w:p>
  </w:endnote>
  <w:endnote w:type="continuationSeparator" w:id="0">
    <w:p w:rsidR="007E298B" w:rsidRDefault="007E298B" w:rsidP="004D6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标宋">
    <w:altName w:val="hakuyoxingshu7000"/>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90" w:rsidRDefault="004D6D90">
    <w:pPr>
      <w:pStyle w:val="a5"/>
      <w:framePr w:wrap="auto" w:vAnchor="text" w:hAnchor="margin" w:xAlign="outside" w:y="1"/>
      <w:rPr>
        <w:rStyle w:val="a8"/>
        <w:rFonts w:ascii="仿宋_GB2312"/>
        <w:sz w:val="28"/>
        <w:szCs w:val="28"/>
      </w:rPr>
    </w:pPr>
    <w:r>
      <w:rPr>
        <w:rStyle w:val="a8"/>
        <w:rFonts w:ascii="仿宋_GB2312" w:cs="仿宋_GB2312"/>
        <w:sz w:val="28"/>
        <w:szCs w:val="28"/>
      </w:rPr>
      <w:fldChar w:fldCharType="begin"/>
    </w:r>
    <w:r w:rsidR="007E298B">
      <w:rPr>
        <w:rStyle w:val="a8"/>
        <w:rFonts w:ascii="仿宋_GB2312" w:cs="仿宋_GB2312"/>
        <w:sz w:val="28"/>
        <w:szCs w:val="28"/>
      </w:rPr>
      <w:instrText xml:space="preserve">PAGE  </w:instrText>
    </w:r>
    <w:r>
      <w:rPr>
        <w:rStyle w:val="a8"/>
        <w:rFonts w:ascii="仿宋_GB2312" w:cs="仿宋_GB2312"/>
        <w:sz w:val="28"/>
        <w:szCs w:val="28"/>
      </w:rPr>
      <w:fldChar w:fldCharType="separate"/>
    </w:r>
    <w:r w:rsidR="009A6782">
      <w:rPr>
        <w:rStyle w:val="a8"/>
        <w:rFonts w:ascii="仿宋_GB2312" w:cs="仿宋_GB2312"/>
        <w:noProof/>
        <w:sz w:val="28"/>
        <w:szCs w:val="28"/>
      </w:rPr>
      <w:t>- 2 -</w:t>
    </w:r>
    <w:r>
      <w:rPr>
        <w:rStyle w:val="a8"/>
        <w:rFonts w:ascii="仿宋_GB2312" w:cs="仿宋_GB2312"/>
        <w:sz w:val="28"/>
        <w:szCs w:val="28"/>
      </w:rPr>
      <w:fldChar w:fldCharType="end"/>
    </w:r>
  </w:p>
  <w:p w:rsidR="004D6D90" w:rsidRDefault="004D6D90">
    <w:pPr>
      <w:spacing w:line="183" w:lineRule="auto"/>
      <w:ind w:left="219" w:right="360" w:firstLine="360"/>
      <w:rPr>
        <w:rFonts w:ascii="宋体" w:eastAsia="宋体" w:hAnsi="宋体"/>
        <w:sz w:val="20"/>
        <w:szCs w:val="20"/>
      </w:rPr>
    </w:pPr>
    <w:r w:rsidRPr="004D6D90">
      <w:pict>
        <v:rect id="文本框 22"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NDuHEAQAAkA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FN4MwJSxd++fH98vP35dc3&#10;VpbJnz5gRW2P4QGmDClMYocWbHqTDDZkT89XT9UQmaTial2u10uyW9LZnBBO8fR5AIx3yluWgpoD&#10;XVr2Upw+Yhxb55Y0zflbbQzVRWXcXwXCTJUiMR45pigO+2EivvfNmeT2dN81d7TenJl7R3am1ZgD&#10;mIP9HBwD6ENH1FaZF4YPx0gkMrc0YYSdBtNFZXXTUqVNeJ7nrq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ZNDuHEAQAAkAMAAA4AAAAAAAAAAQAgAAAAHwEAAGRycy9lMm9Eb2MueG1s&#10;UEsFBgAAAAAGAAYAWQEAAFUFAAAAAA==&#10;" filled="f" stroked="f">
          <v:textbox style="mso-fit-shape-to-text:t" inset="0,0,0,0">
            <w:txbxContent>
              <w:p w:rsidR="004D6D90" w:rsidRDefault="004D6D90">
                <w:pPr>
                  <w:pStyle w:val="a5"/>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8B" w:rsidRDefault="007E298B" w:rsidP="004D6D90">
      <w:r>
        <w:separator/>
      </w:r>
    </w:p>
  </w:footnote>
  <w:footnote w:type="continuationSeparator" w:id="0">
    <w:p w:rsidR="007E298B" w:rsidRDefault="007E298B" w:rsidP="004D6D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6"/>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underlineTabInNumList/>
  </w:compat>
  <w:docVars>
    <w:docVar w:name="commondata" w:val="eyJoZGlkIjoiNTk1MGMwYmFlZDNlYWY0ZjVkYzQxNDJiOGNmOWYwYzAifQ=="/>
  </w:docVars>
  <w:rsids>
    <w:rsidRoot w:val="00140641"/>
    <w:rsid w:val="A3BCFE39"/>
    <w:rsid w:val="AD3ED135"/>
    <w:rsid w:val="BDDB411D"/>
    <w:rsid w:val="C2B2DB57"/>
    <w:rsid w:val="CBEF649D"/>
    <w:rsid w:val="CDE640C7"/>
    <w:rsid w:val="D71B31F8"/>
    <w:rsid w:val="DBFD9CE5"/>
    <w:rsid w:val="DE6F0881"/>
    <w:rsid w:val="F3CE8566"/>
    <w:rsid w:val="FBEFD025"/>
    <w:rsid w:val="FBFD54CE"/>
    <w:rsid w:val="FC937BE8"/>
    <w:rsid w:val="FDBF55DB"/>
    <w:rsid w:val="FECDC22C"/>
    <w:rsid w:val="FF9D8C0B"/>
    <w:rsid w:val="FFFB3CE2"/>
    <w:rsid w:val="FFFF82FB"/>
    <w:rsid w:val="0002552D"/>
    <w:rsid w:val="000435EA"/>
    <w:rsid w:val="00061D12"/>
    <w:rsid w:val="000652CB"/>
    <w:rsid w:val="00066BD4"/>
    <w:rsid w:val="000A0606"/>
    <w:rsid w:val="001329D6"/>
    <w:rsid w:val="00134E9E"/>
    <w:rsid w:val="00140641"/>
    <w:rsid w:val="0015029E"/>
    <w:rsid w:val="001D73A1"/>
    <w:rsid w:val="00201D89"/>
    <w:rsid w:val="00217A79"/>
    <w:rsid w:val="002605E8"/>
    <w:rsid w:val="00261810"/>
    <w:rsid w:val="00291E25"/>
    <w:rsid w:val="002D4182"/>
    <w:rsid w:val="00375F0B"/>
    <w:rsid w:val="00380C3B"/>
    <w:rsid w:val="003C3FC6"/>
    <w:rsid w:val="003E5898"/>
    <w:rsid w:val="00467FC3"/>
    <w:rsid w:val="00484127"/>
    <w:rsid w:val="00485A29"/>
    <w:rsid w:val="004977F7"/>
    <w:rsid w:val="004D6D90"/>
    <w:rsid w:val="004D70AA"/>
    <w:rsid w:val="00521796"/>
    <w:rsid w:val="005242A6"/>
    <w:rsid w:val="00542426"/>
    <w:rsid w:val="005467BF"/>
    <w:rsid w:val="00592773"/>
    <w:rsid w:val="00596FC8"/>
    <w:rsid w:val="00634338"/>
    <w:rsid w:val="00652CC2"/>
    <w:rsid w:val="006F2DBB"/>
    <w:rsid w:val="007157A5"/>
    <w:rsid w:val="00746BE4"/>
    <w:rsid w:val="00760FC7"/>
    <w:rsid w:val="00775F9D"/>
    <w:rsid w:val="00781860"/>
    <w:rsid w:val="007E298B"/>
    <w:rsid w:val="00842D83"/>
    <w:rsid w:val="0086231C"/>
    <w:rsid w:val="00881FA1"/>
    <w:rsid w:val="008C2152"/>
    <w:rsid w:val="008D0223"/>
    <w:rsid w:val="009437FE"/>
    <w:rsid w:val="009569CA"/>
    <w:rsid w:val="00986C1D"/>
    <w:rsid w:val="009A6782"/>
    <w:rsid w:val="009C6B0A"/>
    <w:rsid w:val="00A1163A"/>
    <w:rsid w:val="00A6276C"/>
    <w:rsid w:val="00A959D3"/>
    <w:rsid w:val="00AE01A6"/>
    <w:rsid w:val="00AE2691"/>
    <w:rsid w:val="00B41C8F"/>
    <w:rsid w:val="00B81C9B"/>
    <w:rsid w:val="00B90722"/>
    <w:rsid w:val="00B951AE"/>
    <w:rsid w:val="00BD05EF"/>
    <w:rsid w:val="00BD4985"/>
    <w:rsid w:val="00C474A3"/>
    <w:rsid w:val="00CB3EE9"/>
    <w:rsid w:val="00D03EC7"/>
    <w:rsid w:val="00D10639"/>
    <w:rsid w:val="00D16E35"/>
    <w:rsid w:val="00D63574"/>
    <w:rsid w:val="00DB6B9A"/>
    <w:rsid w:val="00DC09E7"/>
    <w:rsid w:val="00DD026A"/>
    <w:rsid w:val="00DF7939"/>
    <w:rsid w:val="00E22850"/>
    <w:rsid w:val="00E24643"/>
    <w:rsid w:val="00E71D94"/>
    <w:rsid w:val="00EA4186"/>
    <w:rsid w:val="00EA6E5B"/>
    <w:rsid w:val="00F14263"/>
    <w:rsid w:val="00F26671"/>
    <w:rsid w:val="00F3650F"/>
    <w:rsid w:val="00F77AD6"/>
    <w:rsid w:val="00FA655E"/>
    <w:rsid w:val="00FB58CA"/>
    <w:rsid w:val="00FF75AA"/>
    <w:rsid w:val="18700F1F"/>
    <w:rsid w:val="336D4B5D"/>
    <w:rsid w:val="3E7E2DD3"/>
    <w:rsid w:val="5F3FE76C"/>
    <w:rsid w:val="5F7757A8"/>
    <w:rsid w:val="6BF6074E"/>
    <w:rsid w:val="6F6BF221"/>
    <w:rsid w:val="75EED998"/>
    <w:rsid w:val="77DDD51B"/>
    <w:rsid w:val="78DA7327"/>
    <w:rsid w:val="7BB77858"/>
    <w:rsid w:val="7BEFF0C7"/>
    <w:rsid w:val="7E6E5984"/>
    <w:rsid w:val="7EFB3310"/>
    <w:rsid w:val="7FF4E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90"/>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4D6D90"/>
    <w:pPr>
      <w:ind w:leftChars="2500" w:left="100"/>
    </w:pPr>
  </w:style>
  <w:style w:type="paragraph" w:styleId="a4">
    <w:name w:val="Balloon Text"/>
    <w:basedOn w:val="a"/>
    <w:link w:val="Char0"/>
    <w:uiPriority w:val="99"/>
    <w:semiHidden/>
    <w:qFormat/>
    <w:rsid w:val="004D6D90"/>
    <w:rPr>
      <w:sz w:val="18"/>
      <w:szCs w:val="18"/>
    </w:rPr>
  </w:style>
  <w:style w:type="paragraph" w:styleId="a5">
    <w:name w:val="footer"/>
    <w:basedOn w:val="a"/>
    <w:link w:val="Char1"/>
    <w:uiPriority w:val="99"/>
    <w:qFormat/>
    <w:rsid w:val="004D6D90"/>
    <w:pPr>
      <w:tabs>
        <w:tab w:val="center" w:pos="4153"/>
        <w:tab w:val="right" w:pos="8306"/>
      </w:tabs>
      <w:snapToGrid w:val="0"/>
      <w:jc w:val="left"/>
    </w:pPr>
    <w:rPr>
      <w:sz w:val="18"/>
      <w:szCs w:val="18"/>
    </w:rPr>
  </w:style>
  <w:style w:type="paragraph" w:styleId="a6">
    <w:name w:val="header"/>
    <w:basedOn w:val="a"/>
    <w:link w:val="Char2"/>
    <w:uiPriority w:val="99"/>
    <w:qFormat/>
    <w:rsid w:val="004D6D9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uiPriority w:val="99"/>
    <w:qFormat/>
    <w:rsid w:val="004D6D90"/>
    <w:pPr>
      <w:spacing w:beforeAutospacing="1" w:afterAutospacing="1"/>
      <w:jc w:val="left"/>
    </w:pPr>
    <w:rPr>
      <w:kern w:val="0"/>
      <w:sz w:val="24"/>
      <w:szCs w:val="24"/>
    </w:rPr>
  </w:style>
  <w:style w:type="character" w:styleId="a8">
    <w:name w:val="page number"/>
    <w:basedOn w:val="a0"/>
    <w:uiPriority w:val="99"/>
    <w:qFormat/>
    <w:rsid w:val="004D6D90"/>
  </w:style>
  <w:style w:type="character" w:styleId="a9">
    <w:name w:val="Hyperlink"/>
    <w:uiPriority w:val="99"/>
    <w:qFormat/>
    <w:rsid w:val="004D6D90"/>
    <w:rPr>
      <w:color w:val="0000FF"/>
      <w:u w:val="single"/>
    </w:rPr>
  </w:style>
  <w:style w:type="character" w:customStyle="1" w:styleId="Char0">
    <w:name w:val="批注框文本 Char"/>
    <w:link w:val="a4"/>
    <w:uiPriority w:val="99"/>
    <w:semiHidden/>
    <w:qFormat/>
    <w:locked/>
    <w:rsid w:val="004D6D90"/>
    <w:rPr>
      <w:rFonts w:eastAsia="仿宋_GB2312"/>
      <w:kern w:val="2"/>
      <w:sz w:val="18"/>
      <w:szCs w:val="18"/>
    </w:rPr>
  </w:style>
  <w:style w:type="character" w:customStyle="1" w:styleId="Char1">
    <w:name w:val="页脚 Char"/>
    <w:link w:val="a5"/>
    <w:uiPriority w:val="99"/>
    <w:semiHidden/>
    <w:qFormat/>
    <w:rsid w:val="004D6D90"/>
    <w:rPr>
      <w:rFonts w:eastAsia="仿宋_GB2312"/>
      <w:sz w:val="18"/>
      <w:szCs w:val="18"/>
    </w:rPr>
  </w:style>
  <w:style w:type="character" w:customStyle="1" w:styleId="Char2">
    <w:name w:val="页眉 Char"/>
    <w:link w:val="a6"/>
    <w:uiPriority w:val="99"/>
    <w:semiHidden/>
    <w:qFormat/>
    <w:rsid w:val="004D6D90"/>
    <w:rPr>
      <w:rFonts w:eastAsia="仿宋_GB2312"/>
      <w:sz w:val="18"/>
      <w:szCs w:val="18"/>
    </w:rPr>
  </w:style>
  <w:style w:type="paragraph" w:styleId="aa">
    <w:name w:val="List Paragraph"/>
    <w:basedOn w:val="a"/>
    <w:uiPriority w:val="99"/>
    <w:qFormat/>
    <w:rsid w:val="004D6D90"/>
    <w:pPr>
      <w:ind w:firstLineChars="200" w:firstLine="420"/>
    </w:pPr>
  </w:style>
  <w:style w:type="paragraph" w:customStyle="1" w:styleId="NewNewNewNewNewNewNewNewNewNewNewNewNewNewNewNewNewNewNewNewNewNewNewNew">
    <w:name w:val="正文 New New New New New New New New New New New New New New New New New New New New New New New New"/>
    <w:uiPriority w:val="99"/>
    <w:qFormat/>
    <w:rsid w:val="004D6D90"/>
    <w:pPr>
      <w:widowControl w:val="0"/>
      <w:jc w:val="both"/>
    </w:pPr>
    <w:rPr>
      <w:kern w:val="2"/>
      <w:sz w:val="21"/>
      <w:szCs w:val="21"/>
    </w:rPr>
  </w:style>
  <w:style w:type="paragraph" w:customStyle="1" w:styleId="NewNewNewNewNewNewNewNewNewNewNewNewNewNewNewNewNewNewNewNewNewNew">
    <w:name w:val="正文 New New New New New New New New New New New New New New New New New New New New New New"/>
    <w:uiPriority w:val="99"/>
    <w:qFormat/>
    <w:rsid w:val="004D6D90"/>
    <w:pPr>
      <w:widowControl w:val="0"/>
      <w:jc w:val="both"/>
    </w:pPr>
    <w:rPr>
      <w:kern w:val="2"/>
      <w:sz w:val="21"/>
      <w:szCs w:val="21"/>
    </w:rPr>
  </w:style>
  <w:style w:type="character" w:customStyle="1" w:styleId="Char">
    <w:name w:val="日期 Char"/>
    <w:link w:val="a3"/>
    <w:uiPriority w:val="99"/>
    <w:semiHidden/>
    <w:qFormat/>
    <w:rsid w:val="004D6D90"/>
    <w:rPr>
      <w:rFonts w:eastAsia="仿宋_GB231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525</Words>
  <Characters>2998</Characters>
  <Application>Microsoft Office Word</Application>
  <DocSecurity>0</DocSecurity>
  <Lines>24</Lines>
  <Paragraphs>7</Paragraphs>
  <ScaleCrop>false</ScaleCrop>
  <Company>Microsoft</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2025-05-14T09:33:00Z</cp:lastPrinted>
  <dcterms:created xsi:type="dcterms:W3CDTF">2025-05-26T02:02:00Z</dcterms:created>
  <dcterms:modified xsi:type="dcterms:W3CDTF">2025-05-26T02:02:00Z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9F9D875C4DB04E2F9D74EF6C7C2F25FC</vt:lpwstr>
  </property>
</Properties>
</file>