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313" w:rsidRDefault="009A273F">
      <w:pPr>
        <w:spacing w:after="0" w:line="620" w:lineRule="exact"/>
        <w:contextualSpacing/>
        <w:rPr>
          <w:lang w:eastAsia="zh-CN"/>
        </w:rPr>
      </w:pPr>
      <w:r>
        <w:rPr>
          <w:rFonts w:ascii="黑体" w:eastAsia="黑体" w:hAnsi="黑体"/>
          <w:sz w:val="32"/>
          <w:lang w:eastAsia="zh-CN"/>
        </w:rPr>
        <w:t>附件</w:t>
      </w:r>
      <w:r>
        <w:rPr>
          <w:rFonts w:ascii="黑体" w:eastAsia="黑体" w:hAnsi="黑体"/>
          <w:sz w:val="32"/>
          <w:lang w:eastAsia="zh-CN"/>
        </w:rPr>
        <w:t>2</w:t>
      </w:r>
    </w:p>
    <w:p w:rsidR="004B2313" w:rsidRDefault="004B2313">
      <w:pPr>
        <w:spacing w:after="0" w:line="620" w:lineRule="exact"/>
        <w:contextualSpacing/>
        <w:jc w:val="center"/>
        <w:rPr>
          <w:rFonts w:ascii="宋体" w:eastAsia="宋体" w:hAnsi="宋体"/>
          <w:b/>
          <w:sz w:val="44"/>
          <w:lang w:eastAsia="zh-CN"/>
        </w:rPr>
      </w:pPr>
    </w:p>
    <w:p w:rsidR="004B2313" w:rsidRDefault="009A273F">
      <w:pPr>
        <w:spacing w:after="0" w:line="620" w:lineRule="exact"/>
        <w:contextualSpacing/>
        <w:jc w:val="center"/>
        <w:rPr>
          <w:rFonts w:ascii="方正小标宋简体" w:eastAsia="方正小标宋简体"/>
          <w:bCs/>
          <w:lang w:eastAsia="zh-CN"/>
        </w:rPr>
      </w:pPr>
      <w:bookmarkStart w:id="0" w:name="OLE_LINK1"/>
      <w:bookmarkStart w:id="1" w:name="OLE_LINK2"/>
      <w:r>
        <w:rPr>
          <w:rFonts w:ascii="方正小标宋简体" w:eastAsia="方正小标宋简体" w:hAnsi="宋体" w:hint="eastAsia"/>
          <w:bCs/>
          <w:sz w:val="44"/>
          <w:lang w:eastAsia="zh-CN"/>
        </w:rPr>
        <w:t>修订说明</w:t>
      </w:r>
    </w:p>
    <w:bookmarkEnd w:id="0"/>
    <w:bookmarkEnd w:id="1"/>
    <w:p w:rsidR="004B2313" w:rsidRDefault="004B2313">
      <w:pPr>
        <w:spacing w:after="0" w:line="620" w:lineRule="exact"/>
        <w:contextualSpacing/>
        <w:rPr>
          <w:lang w:eastAsia="zh-CN"/>
        </w:rPr>
      </w:pPr>
    </w:p>
    <w:p w:rsidR="004B2313" w:rsidRDefault="009A273F">
      <w:pPr>
        <w:spacing w:after="0" w:line="620" w:lineRule="exact"/>
        <w:ind w:firstLine="640"/>
        <w:contextualSpacing/>
        <w:rPr>
          <w:lang w:eastAsia="zh-CN"/>
        </w:rPr>
      </w:pPr>
      <w:r>
        <w:rPr>
          <w:rFonts w:ascii="黑体" w:eastAsia="黑体" w:hAnsi="黑体"/>
          <w:sz w:val="32"/>
          <w:lang w:eastAsia="zh-CN"/>
        </w:rPr>
        <w:t>一、修订的必要性</w:t>
      </w:r>
    </w:p>
    <w:p w:rsidR="004B2313" w:rsidRDefault="009A273F">
      <w:pPr>
        <w:spacing w:after="0" w:line="620" w:lineRule="exact"/>
        <w:ind w:firstLine="640"/>
        <w:contextualSpacing/>
        <w:rPr>
          <w:lang w:eastAsia="zh-CN"/>
        </w:rPr>
      </w:pPr>
      <w:r>
        <w:rPr>
          <w:rFonts w:ascii="仿宋_GB2312" w:eastAsia="仿宋_GB2312" w:hAnsi="仿宋_GB2312"/>
          <w:sz w:val="32"/>
          <w:lang w:eastAsia="zh-CN"/>
        </w:rPr>
        <w:t>一是上位法已经更替。原办法第一条、第四条、第二十一条援引的《中华人民共和国固体废物污染环境防治法》，已随《中华人民共和国生态环境法典》施行而废止，依据条款必须同步更新，否则办法存在合法性瑕疵。</w:t>
      </w:r>
    </w:p>
    <w:p w:rsidR="004B2313" w:rsidRDefault="009A273F">
      <w:pPr>
        <w:spacing w:after="0" w:line="620" w:lineRule="exact"/>
        <w:ind w:firstLine="640"/>
        <w:contextualSpacing/>
        <w:rPr>
          <w:lang w:eastAsia="zh-CN"/>
        </w:rPr>
      </w:pPr>
      <w:r>
        <w:rPr>
          <w:rFonts w:ascii="仿宋_GB2312" w:eastAsia="仿宋_GB2312" w:hAnsi="仿宋_GB2312"/>
          <w:sz w:val="32"/>
          <w:lang w:eastAsia="zh-CN"/>
        </w:rPr>
        <w:t>二是新的攻坚安排已经出台。《吉林省提升农村生活垃圾收运处置体系建设的十条措施》（吉建农居〔</w:t>
      </w:r>
      <w:r>
        <w:rPr>
          <w:rFonts w:ascii="仿宋_GB2312" w:eastAsia="仿宋_GB2312" w:hAnsi="仿宋_GB2312"/>
          <w:sz w:val="32"/>
          <w:lang w:eastAsia="zh-CN"/>
        </w:rPr>
        <w:t>2026</w:t>
      </w:r>
      <w:r>
        <w:rPr>
          <w:rFonts w:ascii="仿宋_GB2312" w:eastAsia="仿宋_GB2312" w:hAnsi="仿宋_GB2312"/>
          <w:sz w:val="32"/>
          <w:lang w:eastAsia="zh-CN"/>
        </w:rPr>
        <w:t>〕</w:t>
      </w:r>
      <w:r>
        <w:rPr>
          <w:rFonts w:ascii="仿宋_GB2312" w:eastAsia="仿宋_GB2312" w:hAnsi="仿宋_GB2312"/>
          <w:sz w:val="32"/>
          <w:lang w:eastAsia="zh-CN"/>
        </w:rPr>
        <w:t>4</w:t>
      </w:r>
      <w:r>
        <w:rPr>
          <w:rFonts w:ascii="仿宋_GB2312" w:eastAsia="仿宋_GB2312" w:hAnsi="仿宋_GB2312"/>
          <w:sz w:val="32"/>
          <w:lang w:eastAsia="zh-CN"/>
        </w:rPr>
        <w:t>号）对建筑垃圾下乡、密闭收集设施全覆盖、清运时限、暗访覆盖、经费保障等提出刚性要求，办法需与之衔接，但不宜照搬阶段性指标。</w:t>
      </w:r>
    </w:p>
    <w:p w:rsidR="004B2313" w:rsidRDefault="009A273F">
      <w:pPr>
        <w:spacing w:after="0" w:line="620" w:lineRule="exact"/>
        <w:ind w:firstLine="640"/>
        <w:contextualSpacing/>
        <w:rPr>
          <w:lang w:eastAsia="zh-CN"/>
        </w:rPr>
      </w:pPr>
      <w:r>
        <w:rPr>
          <w:rFonts w:ascii="仿宋_GB2312" w:eastAsia="仿宋_GB2312" w:hAnsi="仿宋_GB2312"/>
          <w:sz w:val="32"/>
          <w:lang w:eastAsia="zh-CN"/>
        </w:rPr>
        <w:t>三是执法依据需要打通。原办法未设法律责</w:t>
      </w:r>
      <w:r>
        <w:rPr>
          <w:rFonts w:ascii="仿宋_GB2312" w:eastAsia="仿宋_GB2312" w:hAnsi="仿宋_GB2312"/>
          <w:sz w:val="32"/>
          <w:lang w:eastAsia="zh-CN"/>
        </w:rPr>
        <w:t>任条款，基层检查发现问题后不能依据办法直接处罚，需通过准用性规定把处罚转致生态环境法典。</w:t>
      </w:r>
    </w:p>
    <w:p w:rsidR="004B2313" w:rsidRDefault="009A273F">
      <w:pPr>
        <w:spacing w:after="0" w:line="620" w:lineRule="exact"/>
        <w:ind w:firstLine="640"/>
        <w:contextualSpacing/>
        <w:rPr>
          <w:lang w:eastAsia="zh-CN"/>
        </w:rPr>
      </w:pPr>
      <w:r>
        <w:rPr>
          <w:rFonts w:ascii="黑体" w:eastAsia="黑体" w:hAnsi="黑体"/>
          <w:sz w:val="32"/>
          <w:lang w:eastAsia="zh-CN"/>
        </w:rPr>
        <w:t>二、修订的主要内容</w:t>
      </w:r>
    </w:p>
    <w:p w:rsidR="004B2313" w:rsidRDefault="009A273F">
      <w:pPr>
        <w:spacing w:after="0" w:line="620" w:lineRule="exact"/>
        <w:ind w:firstLine="640"/>
        <w:contextualSpacing/>
        <w:rPr>
          <w:rFonts w:ascii="仿宋_GB2312" w:eastAsia="仿宋_GB2312" w:hAnsi="仿宋_GB2312"/>
          <w:sz w:val="32"/>
          <w:lang w:eastAsia="zh-CN"/>
        </w:rPr>
      </w:pPr>
      <w:r>
        <w:rPr>
          <w:rFonts w:ascii="仿宋_GB2312" w:eastAsia="仿宋_GB2312" w:hAnsi="仿宋_GB2312"/>
          <w:sz w:val="32"/>
          <w:lang w:eastAsia="zh-CN"/>
        </w:rPr>
        <w:t>本次修订坚持最小修改量原则，制度框架和主要制度安排保持不变，具体修订事项如下表。</w:t>
      </w:r>
    </w:p>
    <w:p w:rsidR="004B2313" w:rsidRDefault="004B2313">
      <w:pPr>
        <w:spacing w:after="0" w:line="620" w:lineRule="exact"/>
        <w:ind w:firstLine="640"/>
        <w:contextualSpacing/>
        <w:rPr>
          <w:rFonts w:ascii="仿宋_GB2312" w:eastAsia="仿宋_GB2312" w:hAnsi="仿宋_GB2312"/>
          <w:sz w:val="32"/>
          <w:lang w:eastAsia="zh-CN"/>
        </w:rPr>
      </w:pPr>
    </w:p>
    <w:p w:rsidR="004B2313" w:rsidRDefault="004B2313">
      <w:pPr>
        <w:spacing w:after="0" w:line="620" w:lineRule="exact"/>
        <w:ind w:firstLine="640"/>
        <w:contextualSpacing/>
        <w:rPr>
          <w:lang w:eastAsia="zh-CN"/>
        </w:rPr>
      </w:pPr>
    </w:p>
    <w:tbl>
      <w:tblPr>
        <w:tblStyle w:val="ae"/>
        <w:tblW w:w="0" w:type="auto"/>
        <w:jc w:val="center"/>
        <w:tblLook w:val="04A0"/>
      </w:tblPr>
      <w:tblGrid>
        <w:gridCol w:w="454"/>
        <w:gridCol w:w="1417"/>
        <w:gridCol w:w="2381"/>
        <w:gridCol w:w="2381"/>
        <w:gridCol w:w="2268"/>
      </w:tblGrid>
      <w:tr w:rsidR="004B2313">
        <w:trPr>
          <w:jc w:val="center"/>
        </w:trPr>
        <w:tc>
          <w:tcPr>
            <w:tcW w:w="454" w:type="dxa"/>
            <w:vAlign w:val="center"/>
          </w:tcPr>
          <w:p w:rsidR="004B2313" w:rsidRDefault="009A273F">
            <w:pPr>
              <w:spacing w:after="0" w:line="360" w:lineRule="exact"/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/>
                <w:bCs/>
                <w:sz w:val="21"/>
              </w:rPr>
              <w:lastRenderedPageBreak/>
              <w:t>序号</w:t>
            </w:r>
          </w:p>
        </w:tc>
        <w:tc>
          <w:tcPr>
            <w:tcW w:w="1417" w:type="dxa"/>
            <w:vAlign w:val="center"/>
          </w:tcPr>
          <w:p w:rsidR="004B2313" w:rsidRDefault="009A273F">
            <w:pPr>
              <w:spacing w:after="0" w:line="360" w:lineRule="exact"/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/>
                <w:bCs/>
                <w:sz w:val="21"/>
              </w:rPr>
              <w:t>条号</w:t>
            </w:r>
          </w:p>
        </w:tc>
        <w:tc>
          <w:tcPr>
            <w:tcW w:w="2381" w:type="dxa"/>
            <w:vAlign w:val="center"/>
          </w:tcPr>
          <w:p w:rsidR="004B2313" w:rsidRDefault="009A273F">
            <w:pPr>
              <w:spacing w:after="0" w:line="360" w:lineRule="exact"/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/>
                <w:bCs/>
                <w:sz w:val="21"/>
              </w:rPr>
              <w:t>原办法表述</w:t>
            </w:r>
          </w:p>
        </w:tc>
        <w:tc>
          <w:tcPr>
            <w:tcW w:w="2381" w:type="dxa"/>
            <w:vAlign w:val="center"/>
          </w:tcPr>
          <w:p w:rsidR="004B2313" w:rsidRDefault="009A273F">
            <w:pPr>
              <w:spacing w:after="0" w:line="360" w:lineRule="exact"/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/>
                <w:bCs/>
                <w:sz w:val="21"/>
              </w:rPr>
              <w:t>修订后表述</w:t>
            </w:r>
          </w:p>
        </w:tc>
        <w:tc>
          <w:tcPr>
            <w:tcW w:w="2268" w:type="dxa"/>
            <w:vAlign w:val="center"/>
          </w:tcPr>
          <w:p w:rsidR="004B2313" w:rsidRDefault="009A273F">
            <w:pPr>
              <w:spacing w:after="0" w:line="360" w:lineRule="exact"/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/>
                <w:bCs/>
                <w:sz w:val="21"/>
              </w:rPr>
              <w:t>修订原因</w:t>
            </w:r>
          </w:p>
        </w:tc>
      </w:tr>
      <w:tr w:rsidR="004B2313">
        <w:trPr>
          <w:jc w:val="center"/>
        </w:trPr>
        <w:tc>
          <w:tcPr>
            <w:tcW w:w="454" w:type="dxa"/>
            <w:vAlign w:val="center"/>
          </w:tcPr>
          <w:p w:rsidR="004B2313" w:rsidRDefault="009A273F">
            <w:pPr>
              <w:spacing w:after="0" w:line="360" w:lineRule="exact"/>
              <w:jc w:val="center"/>
            </w:pPr>
            <w:r>
              <w:rPr>
                <w:rFonts w:ascii="仿宋_GB2312" w:eastAsia="仿宋_GB2312" w:hAnsi="仿宋_GB2312"/>
                <w:sz w:val="21"/>
              </w:rPr>
              <w:t>1</w:t>
            </w:r>
          </w:p>
        </w:tc>
        <w:tc>
          <w:tcPr>
            <w:tcW w:w="1417" w:type="dxa"/>
            <w:vAlign w:val="center"/>
          </w:tcPr>
          <w:p w:rsidR="004B2313" w:rsidRDefault="009A273F">
            <w:pPr>
              <w:spacing w:after="0" w:line="360" w:lineRule="exact"/>
              <w:jc w:val="center"/>
            </w:pPr>
            <w:r>
              <w:rPr>
                <w:rFonts w:ascii="仿宋_GB2312" w:eastAsia="仿宋_GB2312" w:hAnsi="仿宋_GB2312"/>
                <w:sz w:val="21"/>
              </w:rPr>
              <w:t>标题</w:t>
            </w:r>
          </w:p>
        </w:tc>
        <w:tc>
          <w:tcPr>
            <w:tcW w:w="2381" w:type="dxa"/>
            <w:vAlign w:val="center"/>
          </w:tcPr>
          <w:p w:rsidR="004B2313" w:rsidRDefault="009A273F">
            <w:pPr>
              <w:spacing w:after="0" w:line="360" w:lineRule="exact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1"/>
                <w:lang w:eastAsia="zh-CN"/>
              </w:rPr>
              <w:t>吉林省农村生活垃圾收运处置体系建设管理办法（试行）</w:t>
            </w:r>
          </w:p>
        </w:tc>
        <w:tc>
          <w:tcPr>
            <w:tcW w:w="2381" w:type="dxa"/>
            <w:vAlign w:val="center"/>
          </w:tcPr>
          <w:p w:rsidR="004B2313" w:rsidRDefault="009A273F">
            <w:pPr>
              <w:spacing w:after="0" w:line="360" w:lineRule="exact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1"/>
                <w:lang w:eastAsia="zh-CN"/>
              </w:rPr>
              <w:t>吉林省农村生活垃圾收运处置体系建设管理办法（删除</w:t>
            </w:r>
            <w:r>
              <w:rPr>
                <w:rFonts w:ascii="仿宋_GB2312" w:eastAsia="仿宋_GB2312" w:hAnsi="仿宋_GB2312"/>
                <w:sz w:val="21"/>
                <w:lang w:eastAsia="zh-CN"/>
              </w:rPr>
              <w:t>“</w:t>
            </w:r>
            <w:r>
              <w:rPr>
                <w:rFonts w:ascii="仿宋_GB2312" w:eastAsia="仿宋_GB2312" w:hAnsi="仿宋_GB2312"/>
                <w:sz w:val="21"/>
                <w:lang w:eastAsia="zh-CN"/>
              </w:rPr>
              <w:t>试行</w:t>
            </w:r>
            <w:r>
              <w:rPr>
                <w:rFonts w:ascii="仿宋_GB2312" w:eastAsia="仿宋_GB2312" w:hAnsi="仿宋_GB2312"/>
                <w:sz w:val="21"/>
                <w:lang w:eastAsia="zh-CN"/>
              </w:rPr>
              <w:t>”</w:t>
            </w:r>
            <w:r>
              <w:rPr>
                <w:rFonts w:ascii="仿宋_GB2312" w:eastAsia="仿宋_GB2312" w:hAnsi="仿宋_GB2312"/>
                <w:sz w:val="21"/>
                <w:lang w:eastAsia="zh-CN"/>
              </w:rPr>
              <w:t>）</w:t>
            </w:r>
          </w:p>
        </w:tc>
        <w:tc>
          <w:tcPr>
            <w:tcW w:w="2268" w:type="dxa"/>
            <w:vAlign w:val="center"/>
          </w:tcPr>
          <w:p w:rsidR="004B2313" w:rsidRDefault="009A273F">
            <w:pPr>
              <w:spacing w:after="0" w:line="360" w:lineRule="exact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1"/>
                <w:lang w:eastAsia="zh-CN"/>
              </w:rPr>
              <w:t>试行期已满、制度已成熟，转为正式办法长期施行。</w:t>
            </w:r>
          </w:p>
        </w:tc>
      </w:tr>
      <w:tr w:rsidR="004B2313">
        <w:trPr>
          <w:jc w:val="center"/>
        </w:trPr>
        <w:tc>
          <w:tcPr>
            <w:tcW w:w="454" w:type="dxa"/>
            <w:vAlign w:val="center"/>
          </w:tcPr>
          <w:p w:rsidR="004B2313" w:rsidRDefault="009A273F">
            <w:pPr>
              <w:spacing w:after="0" w:line="360" w:lineRule="exact"/>
              <w:jc w:val="center"/>
            </w:pPr>
            <w:r>
              <w:rPr>
                <w:rFonts w:ascii="仿宋_GB2312" w:eastAsia="仿宋_GB2312" w:hAnsi="仿宋_GB2312"/>
                <w:sz w:val="21"/>
              </w:rPr>
              <w:t>2</w:t>
            </w:r>
          </w:p>
        </w:tc>
        <w:tc>
          <w:tcPr>
            <w:tcW w:w="1417" w:type="dxa"/>
            <w:vAlign w:val="center"/>
          </w:tcPr>
          <w:p w:rsidR="004B2313" w:rsidRDefault="009A273F">
            <w:pPr>
              <w:spacing w:after="0" w:line="360" w:lineRule="exact"/>
              <w:jc w:val="center"/>
            </w:pPr>
            <w:r>
              <w:rPr>
                <w:rFonts w:ascii="仿宋_GB2312" w:eastAsia="仿宋_GB2312" w:hAnsi="仿宋_GB2312"/>
                <w:sz w:val="21"/>
              </w:rPr>
              <w:t>第一条</w:t>
            </w:r>
          </w:p>
        </w:tc>
        <w:tc>
          <w:tcPr>
            <w:tcW w:w="2381" w:type="dxa"/>
            <w:vAlign w:val="center"/>
          </w:tcPr>
          <w:p w:rsidR="004B2313" w:rsidRDefault="009A273F">
            <w:pPr>
              <w:spacing w:after="0" w:line="360" w:lineRule="exact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1"/>
                <w:lang w:eastAsia="zh-CN"/>
              </w:rPr>
              <w:t>根据《中华人民共和国固体废物污染环境防治法》等法律法规</w:t>
            </w:r>
          </w:p>
        </w:tc>
        <w:tc>
          <w:tcPr>
            <w:tcW w:w="2381" w:type="dxa"/>
            <w:vAlign w:val="center"/>
          </w:tcPr>
          <w:p w:rsidR="004B2313" w:rsidRDefault="009A273F">
            <w:pPr>
              <w:spacing w:after="0" w:line="360" w:lineRule="exact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1"/>
                <w:lang w:eastAsia="zh-CN"/>
              </w:rPr>
              <w:t>根据《中华人民共和国生态环境法典》等法律法规</w:t>
            </w:r>
          </w:p>
        </w:tc>
        <w:tc>
          <w:tcPr>
            <w:tcW w:w="2268" w:type="dxa"/>
            <w:vAlign w:val="center"/>
          </w:tcPr>
          <w:p w:rsidR="004B2313" w:rsidRDefault="009A273F">
            <w:pPr>
              <w:spacing w:after="0" w:line="360" w:lineRule="exact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1"/>
                <w:lang w:eastAsia="zh-CN"/>
              </w:rPr>
              <w:t>固废法已随法典施行废止，更新立法依据。</w:t>
            </w:r>
          </w:p>
        </w:tc>
      </w:tr>
      <w:tr w:rsidR="004B2313">
        <w:trPr>
          <w:jc w:val="center"/>
        </w:trPr>
        <w:tc>
          <w:tcPr>
            <w:tcW w:w="454" w:type="dxa"/>
            <w:vAlign w:val="center"/>
          </w:tcPr>
          <w:p w:rsidR="004B2313" w:rsidRDefault="009A273F">
            <w:pPr>
              <w:spacing w:after="0" w:line="360" w:lineRule="exact"/>
              <w:jc w:val="center"/>
            </w:pPr>
            <w:r>
              <w:rPr>
                <w:rFonts w:ascii="仿宋_GB2312" w:eastAsia="仿宋_GB2312" w:hAnsi="仿宋_GB2312"/>
                <w:sz w:val="21"/>
              </w:rPr>
              <w:t>3</w:t>
            </w:r>
          </w:p>
        </w:tc>
        <w:tc>
          <w:tcPr>
            <w:tcW w:w="1417" w:type="dxa"/>
            <w:vAlign w:val="center"/>
          </w:tcPr>
          <w:p w:rsidR="004B2313" w:rsidRDefault="009A273F">
            <w:pPr>
              <w:spacing w:after="0" w:line="360" w:lineRule="exact"/>
              <w:jc w:val="center"/>
            </w:pPr>
            <w:r>
              <w:rPr>
                <w:rFonts w:ascii="仿宋_GB2312" w:eastAsia="仿宋_GB2312" w:hAnsi="仿宋_GB2312"/>
                <w:sz w:val="21"/>
              </w:rPr>
              <w:t>第四条</w:t>
            </w:r>
          </w:p>
        </w:tc>
        <w:tc>
          <w:tcPr>
            <w:tcW w:w="2381" w:type="dxa"/>
            <w:vAlign w:val="center"/>
          </w:tcPr>
          <w:p w:rsidR="004B2313" w:rsidRDefault="009A273F">
            <w:pPr>
              <w:spacing w:after="0" w:line="360" w:lineRule="exact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1"/>
                <w:lang w:eastAsia="zh-CN"/>
              </w:rPr>
              <w:t>要按照《中华人民共和国固体废物污染环境防治法》规定</w:t>
            </w:r>
          </w:p>
        </w:tc>
        <w:tc>
          <w:tcPr>
            <w:tcW w:w="2381" w:type="dxa"/>
            <w:vAlign w:val="center"/>
          </w:tcPr>
          <w:p w:rsidR="004B2313" w:rsidRDefault="009A273F">
            <w:pPr>
              <w:spacing w:after="0" w:line="360" w:lineRule="exact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1"/>
                <w:lang w:eastAsia="zh-CN"/>
              </w:rPr>
              <w:t>要按照《中华人民共和国生态环境法典》规定</w:t>
            </w:r>
          </w:p>
        </w:tc>
        <w:tc>
          <w:tcPr>
            <w:tcW w:w="2268" w:type="dxa"/>
            <w:vAlign w:val="center"/>
          </w:tcPr>
          <w:p w:rsidR="004B2313" w:rsidRDefault="009A273F">
            <w:pPr>
              <w:spacing w:after="0" w:line="360" w:lineRule="exact"/>
              <w:jc w:val="both"/>
            </w:pPr>
            <w:r>
              <w:rPr>
                <w:rFonts w:ascii="仿宋_GB2312" w:eastAsia="仿宋_GB2312" w:hAnsi="仿宋_GB2312"/>
                <w:sz w:val="21"/>
              </w:rPr>
              <w:t>同步更新上位法援引，消除合法性瑕疵。</w:t>
            </w:r>
          </w:p>
        </w:tc>
      </w:tr>
      <w:tr w:rsidR="004B2313">
        <w:trPr>
          <w:jc w:val="center"/>
        </w:trPr>
        <w:tc>
          <w:tcPr>
            <w:tcW w:w="454" w:type="dxa"/>
            <w:vAlign w:val="center"/>
          </w:tcPr>
          <w:p w:rsidR="004B2313" w:rsidRDefault="009A273F">
            <w:pPr>
              <w:spacing w:after="0" w:line="360" w:lineRule="exact"/>
              <w:jc w:val="center"/>
            </w:pPr>
            <w:r>
              <w:rPr>
                <w:rFonts w:ascii="仿宋_GB2312" w:eastAsia="仿宋_GB2312" w:hAnsi="仿宋_GB2312"/>
                <w:sz w:val="21"/>
              </w:rPr>
              <w:t>4</w:t>
            </w:r>
          </w:p>
        </w:tc>
        <w:tc>
          <w:tcPr>
            <w:tcW w:w="1417" w:type="dxa"/>
            <w:vAlign w:val="center"/>
          </w:tcPr>
          <w:p w:rsidR="004B2313" w:rsidRDefault="009A273F">
            <w:pPr>
              <w:spacing w:after="0" w:line="360" w:lineRule="exact"/>
              <w:jc w:val="center"/>
            </w:pPr>
            <w:r>
              <w:rPr>
                <w:rFonts w:ascii="仿宋_GB2312" w:eastAsia="仿宋_GB2312" w:hAnsi="仿宋_GB2312"/>
                <w:sz w:val="21"/>
              </w:rPr>
              <w:t>第十六条</w:t>
            </w:r>
          </w:p>
        </w:tc>
        <w:tc>
          <w:tcPr>
            <w:tcW w:w="2381" w:type="dxa"/>
            <w:vAlign w:val="center"/>
          </w:tcPr>
          <w:p w:rsidR="004B2313" w:rsidRDefault="009A273F">
            <w:pPr>
              <w:spacing w:after="0" w:line="360" w:lineRule="exact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1"/>
                <w:lang w:eastAsia="zh-CN"/>
              </w:rPr>
              <w:t>禁止违法将城镇生活垃圾向农村转移。</w:t>
            </w:r>
          </w:p>
        </w:tc>
        <w:tc>
          <w:tcPr>
            <w:tcW w:w="2381" w:type="dxa"/>
            <w:vAlign w:val="center"/>
          </w:tcPr>
          <w:p w:rsidR="004B2313" w:rsidRDefault="009A273F">
            <w:pPr>
              <w:spacing w:after="0" w:line="360" w:lineRule="exact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1"/>
                <w:lang w:eastAsia="zh-CN"/>
              </w:rPr>
              <w:t>禁止违法将城镇生活垃圾、建筑垃圾向农村转移、倾倒、堆放。</w:t>
            </w:r>
          </w:p>
        </w:tc>
        <w:tc>
          <w:tcPr>
            <w:tcW w:w="2268" w:type="dxa"/>
            <w:vAlign w:val="center"/>
          </w:tcPr>
          <w:p w:rsidR="004B2313" w:rsidRDefault="009A273F">
            <w:pPr>
              <w:spacing w:after="0" w:line="360" w:lineRule="exact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1"/>
                <w:lang w:eastAsia="zh-CN"/>
              </w:rPr>
              <w:t>建筑垃圾下乡是十条措施首要打击情形，也是中央生态环境保护督察关注问题，半句即可堵住缺口，不新增条文。</w:t>
            </w:r>
          </w:p>
        </w:tc>
      </w:tr>
      <w:tr w:rsidR="004B2313">
        <w:trPr>
          <w:jc w:val="center"/>
        </w:trPr>
        <w:tc>
          <w:tcPr>
            <w:tcW w:w="454" w:type="dxa"/>
            <w:vAlign w:val="center"/>
          </w:tcPr>
          <w:p w:rsidR="004B2313" w:rsidRDefault="009A273F">
            <w:pPr>
              <w:spacing w:after="0" w:line="360" w:lineRule="exact"/>
              <w:jc w:val="center"/>
            </w:pPr>
            <w:r>
              <w:rPr>
                <w:rFonts w:ascii="仿宋_GB2312" w:eastAsia="仿宋_GB2312" w:hAnsi="仿宋_GB2312"/>
                <w:sz w:val="21"/>
              </w:rPr>
              <w:t>5</w:t>
            </w:r>
          </w:p>
        </w:tc>
        <w:tc>
          <w:tcPr>
            <w:tcW w:w="1417" w:type="dxa"/>
            <w:vAlign w:val="center"/>
          </w:tcPr>
          <w:p w:rsidR="004B2313" w:rsidRDefault="009A273F">
            <w:pPr>
              <w:spacing w:after="0" w:line="360" w:lineRule="exact"/>
              <w:jc w:val="center"/>
            </w:pPr>
            <w:r>
              <w:rPr>
                <w:rFonts w:ascii="仿宋_GB2312" w:eastAsia="仿宋_GB2312" w:hAnsi="仿宋_GB2312"/>
                <w:sz w:val="21"/>
              </w:rPr>
              <w:t>第二十一条</w:t>
            </w:r>
          </w:p>
        </w:tc>
        <w:tc>
          <w:tcPr>
            <w:tcW w:w="2381" w:type="dxa"/>
            <w:vAlign w:val="center"/>
          </w:tcPr>
          <w:p w:rsidR="004B2313" w:rsidRDefault="009A273F">
            <w:pPr>
              <w:spacing w:after="0" w:line="360" w:lineRule="exact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1"/>
                <w:lang w:eastAsia="zh-CN"/>
              </w:rPr>
              <w:t>按照《中华人民共和国固体废物污染环境防治法》规定</w:t>
            </w:r>
          </w:p>
        </w:tc>
        <w:tc>
          <w:tcPr>
            <w:tcW w:w="2381" w:type="dxa"/>
            <w:vAlign w:val="center"/>
          </w:tcPr>
          <w:p w:rsidR="004B2313" w:rsidRDefault="009A273F">
            <w:pPr>
              <w:spacing w:after="0" w:line="360" w:lineRule="exact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1"/>
                <w:lang w:eastAsia="zh-CN"/>
              </w:rPr>
              <w:t>按照《中华人民共和国生态环境法典》规定</w:t>
            </w:r>
          </w:p>
        </w:tc>
        <w:tc>
          <w:tcPr>
            <w:tcW w:w="2268" w:type="dxa"/>
            <w:vAlign w:val="center"/>
          </w:tcPr>
          <w:p w:rsidR="004B2313" w:rsidRDefault="009A273F">
            <w:pPr>
              <w:spacing w:after="0" w:line="360" w:lineRule="exact"/>
              <w:jc w:val="both"/>
            </w:pPr>
            <w:r>
              <w:rPr>
                <w:rFonts w:ascii="仿宋_GB2312" w:eastAsia="仿宋_GB2312" w:hAnsi="仿宋_GB2312"/>
                <w:sz w:val="21"/>
              </w:rPr>
              <w:t>同步更新上位法援引。</w:t>
            </w:r>
          </w:p>
        </w:tc>
      </w:tr>
      <w:tr w:rsidR="004B2313">
        <w:trPr>
          <w:jc w:val="center"/>
        </w:trPr>
        <w:tc>
          <w:tcPr>
            <w:tcW w:w="454" w:type="dxa"/>
            <w:vAlign w:val="center"/>
          </w:tcPr>
          <w:p w:rsidR="004B2313" w:rsidRDefault="009A273F">
            <w:pPr>
              <w:spacing w:after="0" w:line="360" w:lineRule="exact"/>
              <w:jc w:val="center"/>
            </w:pPr>
            <w:r>
              <w:rPr>
                <w:rFonts w:ascii="仿宋_GB2312" w:eastAsia="仿宋_GB2312" w:hAnsi="仿宋_GB2312"/>
                <w:sz w:val="21"/>
              </w:rPr>
              <w:t>6</w:t>
            </w:r>
          </w:p>
        </w:tc>
        <w:tc>
          <w:tcPr>
            <w:tcW w:w="1417" w:type="dxa"/>
            <w:vAlign w:val="center"/>
          </w:tcPr>
          <w:p w:rsidR="004B2313" w:rsidRDefault="009A273F">
            <w:pPr>
              <w:spacing w:after="0" w:line="360" w:lineRule="exact"/>
              <w:jc w:val="center"/>
            </w:pPr>
            <w:r>
              <w:rPr>
                <w:rFonts w:ascii="仿宋_GB2312" w:eastAsia="仿宋_GB2312" w:hAnsi="仿宋_GB2312"/>
                <w:sz w:val="21"/>
              </w:rPr>
              <w:t>第二十六条（新增）</w:t>
            </w:r>
          </w:p>
        </w:tc>
        <w:tc>
          <w:tcPr>
            <w:tcW w:w="2381" w:type="dxa"/>
            <w:vAlign w:val="center"/>
          </w:tcPr>
          <w:p w:rsidR="004B2313" w:rsidRDefault="009A273F">
            <w:pPr>
              <w:spacing w:after="0" w:line="360" w:lineRule="exact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1"/>
                <w:lang w:eastAsia="zh-CN"/>
              </w:rPr>
              <w:t>原办法无法律责任条款</w:t>
            </w:r>
          </w:p>
        </w:tc>
        <w:tc>
          <w:tcPr>
            <w:tcW w:w="2381" w:type="dxa"/>
            <w:vAlign w:val="center"/>
          </w:tcPr>
          <w:p w:rsidR="004B2313" w:rsidRDefault="009A273F">
            <w:pPr>
              <w:spacing w:after="0" w:line="360" w:lineRule="exact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1"/>
                <w:lang w:eastAsia="zh-CN"/>
              </w:rPr>
              <w:t>违反本办法规定的行为，《中华人民共和国生态环境法典》等法律、行政法规已有法律责任规定的，从其规定。</w:t>
            </w:r>
          </w:p>
        </w:tc>
        <w:tc>
          <w:tcPr>
            <w:tcW w:w="2268" w:type="dxa"/>
            <w:vAlign w:val="center"/>
          </w:tcPr>
          <w:p w:rsidR="004B2313" w:rsidRDefault="009A273F">
            <w:pPr>
              <w:spacing w:after="0" w:line="360" w:lineRule="exact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1"/>
                <w:lang w:eastAsia="zh-CN"/>
              </w:rPr>
              <w:t>解决原办法无罚则、基层执法依据断层问题；不创设新的处罚种类和幅度，完全转致上位法。</w:t>
            </w:r>
          </w:p>
        </w:tc>
      </w:tr>
      <w:tr w:rsidR="004B2313">
        <w:trPr>
          <w:jc w:val="center"/>
        </w:trPr>
        <w:tc>
          <w:tcPr>
            <w:tcW w:w="454" w:type="dxa"/>
            <w:vAlign w:val="center"/>
          </w:tcPr>
          <w:p w:rsidR="004B2313" w:rsidRDefault="009A273F">
            <w:pPr>
              <w:spacing w:after="0" w:line="360" w:lineRule="exact"/>
              <w:jc w:val="center"/>
            </w:pPr>
            <w:r>
              <w:rPr>
                <w:rFonts w:ascii="仿宋_GB2312" w:eastAsia="仿宋_GB2312" w:hAnsi="仿宋_GB2312"/>
                <w:sz w:val="21"/>
              </w:rPr>
              <w:t>7</w:t>
            </w:r>
          </w:p>
        </w:tc>
        <w:tc>
          <w:tcPr>
            <w:tcW w:w="1417" w:type="dxa"/>
            <w:vAlign w:val="center"/>
          </w:tcPr>
          <w:p w:rsidR="004B2313" w:rsidRDefault="009A273F">
            <w:pPr>
              <w:spacing w:after="0" w:line="360" w:lineRule="exact"/>
              <w:jc w:val="center"/>
            </w:pPr>
            <w:r>
              <w:rPr>
                <w:rFonts w:ascii="仿宋_GB2312" w:eastAsia="仿宋_GB2312" w:hAnsi="仿宋_GB2312"/>
                <w:sz w:val="21"/>
              </w:rPr>
              <w:t>第二十七条（新增）</w:t>
            </w:r>
          </w:p>
        </w:tc>
        <w:tc>
          <w:tcPr>
            <w:tcW w:w="2381" w:type="dxa"/>
            <w:vAlign w:val="center"/>
          </w:tcPr>
          <w:p w:rsidR="004B2313" w:rsidRDefault="009A273F">
            <w:pPr>
              <w:spacing w:after="0" w:line="360" w:lineRule="exact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1"/>
                <w:lang w:eastAsia="zh-CN"/>
              </w:rPr>
              <w:t>原办法无施行日期和废止条款</w:t>
            </w:r>
          </w:p>
        </w:tc>
        <w:tc>
          <w:tcPr>
            <w:tcW w:w="2381" w:type="dxa"/>
            <w:vAlign w:val="center"/>
          </w:tcPr>
          <w:p w:rsidR="004B2313" w:rsidRDefault="009A273F">
            <w:pPr>
              <w:spacing w:after="0" w:line="360" w:lineRule="exact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1"/>
                <w:lang w:eastAsia="zh-CN"/>
              </w:rPr>
              <w:t>本办法自</w:t>
            </w:r>
            <w:r>
              <w:rPr>
                <w:rFonts w:ascii="仿宋_GB2312" w:eastAsia="仿宋_GB2312" w:hAnsi="仿宋_GB2312"/>
                <w:sz w:val="21"/>
                <w:lang w:eastAsia="zh-CN"/>
              </w:rPr>
              <w:t>202</w:t>
            </w:r>
            <w:r>
              <w:rPr>
                <w:rFonts w:ascii="仿宋_GB2312" w:eastAsia="仿宋_GB2312" w:hAnsi="仿宋_GB2312" w:hint="eastAsia"/>
                <w:sz w:val="21"/>
                <w:lang w:eastAsia="zh-CN"/>
              </w:rPr>
              <w:t>7</w:t>
            </w:r>
            <w:r>
              <w:rPr>
                <w:rFonts w:ascii="仿宋_GB2312" w:eastAsia="仿宋_GB2312" w:hAnsi="仿宋_GB2312"/>
                <w:sz w:val="21"/>
                <w:lang w:eastAsia="zh-CN"/>
              </w:rPr>
              <w:t>年</w:t>
            </w:r>
            <w:r>
              <w:rPr>
                <w:rFonts w:ascii="仿宋_GB2312" w:eastAsia="仿宋_GB2312" w:hAnsi="仿宋_GB2312" w:hint="eastAsia"/>
                <w:sz w:val="21"/>
                <w:lang w:eastAsia="zh-CN"/>
              </w:rPr>
              <w:t>1</w:t>
            </w:r>
            <w:r>
              <w:rPr>
                <w:rFonts w:ascii="仿宋_GB2312" w:eastAsia="仿宋_GB2312" w:hAnsi="仿宋_GB2312"/>
                <w:sz w:val="21"/>
                <w:lang w:eastAsia="zh-CN"/>
              </w:rPr>
              <w:t xml:space="preserve">月　</w:t>
            </w:r>
            <w:r>
              <w:rPr>
                <w:rFonts w:ascii="仿宋_GB2312" w:eastAsia="仿宋_GB2312" w:hAnsi="仿宋_GB2312" w:hint="eastAsia"/>
                <w:sz w:val="21"/>
                <w:lang w:eastAsia="zh-CN"/>
              </w:rPr>
              <w:t>1</w:t>
            </w:r>
            <w:r>
              <w:rPr>
                <w:rFonts w:ascii="仿宋_GB2312" w:eastAsia="仿宋_GB2312" w:hAnsi="仿宋_GB2312"/>
                <w:sz w:val="21"/>
                <w:lang w:eastAsia="zh-CN"/>
              </w:rPr>
              <w:t>日起施行。原试行办法（吉建联发〔</w:t>
            </w:r>
            <w:r>
              <w:rPr>
                <w:rFonts w:ascii="仿宋_GB2312" w:eastAsia="仿宋_GB2312" w:hAnsi="仿宋_GB2312"/>
                <w:sz w:val="21"/>
                <w:lang w:eastAsia="zh-CN"/>
              </w:rPr>
              <w:t>2023</w:t>
            </w:r>
            <w:r>
              <w:rPr>
                <w:rFonts w:ascii="仿宋_GB2312" w:eastAsia="仿宋_GB2312" w:hAnsi="仿宋_GB2312"/>
                <w:sz w:val="21"/>
                <w:lang w:eastAsia="zh-CN"/>
              </w:rPr>
              <w:t>〕</w:t>
            </w:r>
            <w:r>
              <w:rPr>
                <w:rFonts w:ascii="仿宋_GB2312" w:eastAsia="仿宋_GB2312" w:hAnsi="仿宋_GB2312"/>
                <w:sz w:val="21"/>
                <w:lang w:eastAsia="zh-CN"/>
              </w:rPr>
              <w:t>46</w:t>
            </w:r>
            <w:r>
              <w:rPr>
                <w:rFonts w:ascii="仿宋_GB2312" w:eastAsia="仿宋_GB2312" w:hAnsi="仿宋_GB2312"/>
                <w:sz w:val="21"/>
                <w:lang w:eastAsia="zh-CN"/>
              </w:rPr>
              <w:t>号）同时废止。</w:t>
            </w:r>
          </w:p>
        </w:tc>
        <w:tc>
          <w:tcPr>
            <w:tcW w:w="2268" w:type="dxa"/>
            <w:vAlign w:val="center"/>
          </w:tcPr>
          <w:p w:rsidR="004B2313" w:rsidRDefault="009A273F">
            <w:pPr>
              <w:spacing w:after="0" w:line="360" w:lineRule="exact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1"/>
                <w:lang w:eastAsia="zh-CN"/>
              </w:rPr>
              <w:t>明确施行日期和新旧办法衔接，避免新旧文件并行。</w:t>
            </w:r>
          </w:p>
        </w:tc>
      </w:tr>
    </w:tbl>
    <w:p w:rsidR="004B2313" w:rsidRDefault="004B2313">
      <w:pPr>
        <w:spacing w:after="0" w:line="240" w:lineRule="exact"/>
        <w:rPr>
          <w:lang w:eastAsia="zh-CN"/>
        </w:rPr>
      </w:pPr>
    </w:p>
    <w:p w:rsidR="004B2313" w:rsidRDefault="009A273F">
      <w:pPr>
        <w:spacing w:after="0" w:line="620" w:lineRule="exact"/>
        <w:ind w:firstLine="641"/>
        <w:contextualSpacing/>
        <w:jc w:val="both"/>
        <w:rPr>
          <w:lang w:eastAsia="zh-CN"/>
        </w:rPr>
      </w:pPr>
      <w:r>
        <w:rPr>
          <w:rFonts w:ascii="仿宋_GB2312" w:eastAsia="仿宋_GB2312" w:hAnsi="仿宋_GB2312"/>
          <w:sz w:val="32"/>
          <w:lang w:eastAsia="zh-CN"/>
        </w:rPr>
        <w:t>修订后，办法由原六章二十五条调整为八章二十七条，新增</w:t>
      </w:r>
      <w:r>
        <w:rPr>
          <w:rFonts w:ascii="仿宋_GB2312" w:eastAsia="仿宋_GB2312" w:hAnsi="仿宋_GB2312"/>
          <w:sz w:val="32"/>
          <w:lang w:eastAsia="zh-CN"/>
        </w:rPr>
        <w:t>“</w:t>
      </w:r>
      <w:r>
        <w:rPr>
          <w:rFonts w:ascii="仿宋_GB2312" w:eastAsia="仿宋_GB2312" w:hAnsi="仿宋_GB2312"/>
          <w:sz w:val="32"/>
          <w:lang w:eastAsia="zh-CN"/>
        </w:rPr>
        <w:t>法律责任</w:t>
      </w:r>
      <w:r>
        <w:rPr>
          <w:rFonts w:ascii="仿宋_GB2312" w:eastAsia="仿宋_GB2312" w:hAnsi="仿宋_GB2312"/>
          <w:sz w:val="32"/>
          <w:lang w:eastAsia="zh-CN"/>
        </w:rPr>
        <w:t>”“</w:t>
      </w:r>
      <w:r>
        <w:rPr>
          <w:rFonts w:ascii="仿宋_GB2312" w:eastAsia="仿宋_GB2312" w:hAnsi="仿宋_GB2312"/>
          <w:sz w:val="32"/>
          <w:lang w:eastAsia="zh-CN"/>
        </w:rPr>
        <w:t>附则</w:t>
      </w:r>
      <w:r>
        <w:rPr>
          <w:rFonts w:ascii="仿宋_GB2312" w:eastAsia="仿宋_GB2312" w:hAnsi="仿宋_GB2312"/>
          <w:sz w:val="32"/>
          <w:lang w:eastAsia="zh-CN"/>
        </w:rPr>
        <w:t>”</w:t>
      </w:r>
      <w:r>
        <w:rPr>
          <w:rFonts w:ascii="仿宋_GB2312" w:eastAsia="仿宋_GB2312" w:hAnsi="仿宋_GB2312"/>
          <w:sz w:val="32"/>
          <w:lang w:eastAsia="zh-CN"/>
        </w:rPr>
        <w:t>两章，其余条文内容保持不变。</w:t>
      </w:r>
    </w:p>
    <w:p w:rsidR="004B2313" w:rsidRDefault="009A273F">
      <w:pPr>
        <w:spacing w:after="0" w:line="620" w:lineRule="exact"/>
        <w:ind w:firstLine="641"/>
        <w:contextualSpacing/>
        <w:jc w:val="both"/>
        <w:rPr>
          <w:lang w:eastAsia="zh-CN"/>
        </w:rPr>
      </w:pPr>
      <w:r>
        <w:rPr>
          <w:rFonts w:ascii="黑体" w:eastAsia="黑体" w:hAnsi="黑体"/>
          <w:sz w:val="32"/>
          <w:lang w:eastAsia="zh-CN"/>
        </w:rPr>
        <w:t>三、经研究未纳入本次修订的内容</w:t>
      </w:r>
    </w:p>
    <w:p w:rsidR="004B2313" w:rsidRDefault="009A273F">
      <w:pPr>
        <w:spacing w:after="0" w:line="620" w:lineRule="exact"/>
        <w:ind w:firstLine="641"/>
        <w:contextualSpacing/>
        <w:jc w:val="both"/>
        <w:rPr>
          <w:lang w:eastAsia="zh-CN"/>
        </w:rPr>
      </w:pPr>
      <w:r>
        <w:rPr>
          <w:rFonts w:ascii="仿宋_GB2312" w:eastAsia="仿宋_GB2312" w:hAnsi="仿宋_GB2312"/>
          <w:sz w:val="32"/>
          <w:lang w:eastAsia="zh-CN"/>
        </w:rPr>
        <w:lastRenderedPageBreak/>
        <w:t>一是十条措施中的阶段性量化指标，包括</w:t>
      </w:r>
      <w:r>
        <w:rPr>
          <w:rFonts w:ascii="仿宋_GB2312" w:eastAsia="仿宋_GB2312" w:hAnsi="仿宋_GB2312"/>
          <w:sz w:val="32"/>
          <w:lang w:eastAsia="zh-CN"/>
        </w:rPr>
        <w:t>2026</w:t>
      </w:r>
      <w:r>
        <w:rPr>
          <w:rFonts w:ascii="仿宋_GB2312" w:eastAsia="仿宋_GB2312" w:hAnsi="仿宋_GB2312"/>
          <w:sz w:val="32"/>
          <w:lang w:eastAsia="zh-CN"/>
        </w:rPr>
        <w:t>年底密闭收集设施全覆盖、取缔露天垃圾池、镇区日产日清、行政村清运间隔不超过</w:t>
      </w:r>
      <w:r>
        <w:rPr>
          <w:rFonts w:ascii="仿宋_GB2312" w:eastAsia="仿宋_GB2312" w:hAnsi="仿宋_GB2312"/>
          <w:sz w:val="32"/>
          <w:lang w:eastAsia="zh-CN"/>
        </w:rPr>
        <w:t>48</w:t>
      </w:r>
      <w:r>
        <w:rPr>
          <w:rFonts w:ascii="仿宋_GB2312" w:eastAsia="仿宋_GB2312" w:hAnsi="仿宋_GB2312"/>
          <w:sz w:val="32"/>
          <w:lang w:eastAsia="zh-CN"/>
        </w:rPr>
        <w:t>小时、暗访抽查覆盖率不低于</w:t>
      </w:r>
      <w:r>
        <w:rPr>
          <w:rFonts w:ascii="仿宋_GB2312" w:eastAsia="仿宋_GB2312" w:hAnsi="仿宋_GB2312"/>
          <w:sz w:val="32"/>
          <w:lang w:eastAsia="zh-CN"/>
        </w:rPr>
        <w:t>30%</w:t>
      </w:r>
      <w:r>
        <w:rPr>
          <w:rFonts w:ascii="仿宋_GB2312" w:eastAsia="仿宋_GB2312" w:hAnsi="仿宋_GB2312"/>
          <w:sz w:val="32"/>
          <w:lang w:eastAsia="zh-CN"/>
        </w:rPr>
        <w:t>等，属整改攻坚安排，具有时限性，写入常态办法会造成到期后条文空转，继续由十条措施承载，办法与十条措施配套执行。</w:t>
      </w:r>
    </w:p>
    <w:p w:rsidR="004B2313" w:rsidRDefault="009A273F">
      <w:pPr>
        <w:spacing w:after="0" w:line="620" w:lineRule="exact"/>
        <w:ind w:firstLine="641"/>
        <w:contextualSpacing/>
        <w:jc w:val="both"/>
        <w:rPr>
          <w:lang w:eastAsia="zh-CN"/>
        </w:rPr>
      </w:pPr>
      <w:r>
        <w:rPr>
          <w:rFonts w:ascii="仿宋_GB2312" w:eastAsia="仿宋_GB2312" w:hAnsi="仿宋_GB2312"/>
          <w:sz w:val="32"/>
          <w:lang w:eastAsia="zh-CN"/>
        </w:rPr>
        <w:t>二是运维经费纳入预算、县级专职岗位、乡镇专职经办等财政和编制事项，十条措施已作部署，办法第二十一条已有经费原则表述，不重复规定。</w:t>
      </w:r>
    </w:p>
    <w:p w:rsidR="004B2313" w:rsidRDefault="009A273F">
      <w:pPr>
        <w:spacing w:after="0" w:line="620" w:lineRule="exact"/>
        <w:ind w:firstLine="641"/>
        <w:contextualSpacing/>
        <w:jc w:val="both"/>
        <w:rPr>
          <w:lang w:eastAsia="zh-CN"/>
        </w:rPr>
      </w:pPr>
      <w:r>
        <w:rPr>
          <w:rFonts w:ascii="仿宋_GB2312" w:eastAsia="仿宋_GB2312" w:hAnsi="仿宋_GB2312"/>
          <w:sz w:val="32"/>
          <w:lang w:eastAsia="zh-CN"/>
        </w:rPr>
        <w:t>三是章节结构和其他文字表述，除上位法名称替换和上述增补外，维持原有制度框架和表述不变，保持制度稳定。</w:t>
      </w:r>
    </w:p>
    <w:p w:rsidR="004B2313" w:rsidRDefault="009A273F">
      <w:pPr>
        <w:spacing w:after="0" w:line="620" w:lineRule="exact"/>
        <w:ind w:firstLine="641"/>
        <w:contextualSpacing/>
        <w:jc w:val="both"/>
        <w:rPr>
          <w:lang w:eastAsia="zh-CN"/>
        </w:rPr>
      </w:pPr>
      <w:r>
        <w:rPr>
          <w:rFonts w:ascii="黑体" w:eastAsia="黑体" w:hAnsi="黑体"/>
          <w:sz w:val="32"/>
          <w:lang w:eastAsia="zh-CN"/>
        </w:rPr>
        <w:t>四、需要说明的其他事项</w:t>
      </w:r>
    </w:p>
    <w:p w:rsidR="004B2313" w:rsidRDefault="009A273F">
      <w:pPr>
        <w:spacing w:after="0" w:line="620" w:lineRule="exact"/>
        <w:ind w:firstLine="641"/>
        <w:contextualSpacing/>
        <w:jc w:val="both"/>
        <w:rPr>
          <w:lang w:eastAsia="zh-CN"/>
        </w:rPr>
      </w:pPr>
      <w:r>
        <w:rPr>
          <w:rFonts w:ascii="仿宋_GB2312" w:eastAsia="仿宋_GB2312" w:hAnsi="仿宋_GB2312"/>
          <w:sz w:val="32"/>
          <w:lang w:eastAsia="zh-CN"/>
        </w:rPr>
        <w:t>一是本次修订系因生态环境法典施行、上位法更替所作的衔接性修改，制度框架和主要制度安排保持不变。</w:t>
      </w:r>
    </w:p>
    <w:p w:rsidR="004B2313" w:rsidRDefault="009A273F">
      <w:pPr>
        <w:spacing w:after="0" w:line="620" w:lineRule="exact"/>
        <w:ind w:firstLine="641"/>
        <w:contextualSpacing/>
        <w:jc w:val="both"/>
        <w:rPr>
          <w:rFonts w:eastAsia="宋体"/>
          <w:lang w:eastAsia="zh-CN"/>
        </w:rPr>
      </w:pPr>
      <w:r>
        <w:rPr>
          <w:rFonts w:ascii="仿宋_GB2312" w:eastAsia="仿宋_GB2312" w:hAnsi="仿宋_GB2312"/>
          <w:sz w:val="32"/>
          <w:lang w:eastAsia="zh-CN"/>
        </w:rPr>
        <w:t>二是办法（常态长效制度）与十条措施（整改攻坚安排）配套执行，阶段性量化指标以十条措施为准。</w:t>
      </w:r>
    </w:p>
    <w:p w:rsidR="004B2313" w:rsidRDefault="009A273F">
      <w:pPr>
        <w:spacing w:after="0" w:line="620" w:lineRule="exact"/>
        <w:ind w:firstLine="641"/>
        <w:contextualSpacing/>
        <w:jc w:val="both"/>
        <w:rPr>
          <w:lang w:eastAsia="zh-CN"/>
        </w:rPr>
      </w:pPr>
      <w:r>
        <w:rPr>
          <w:rFonts w:ascii="仿宋_GB2312" w:eastAsia="仿宋_GB2312" w:hAnsi="仿宋_GB2312"/>
          <w:sz w:val="32"/>
          <w:lang w:eastAsia="zh-CN"/>
        </w:rPr>
        <w:t>三是农村生活垃圾合法处理途径按生态环境法典有关规定执行，</w:t>
      </w:r>
      <w:r>
        <w:rPr>
          <w:rFonts w:ascii="仿宋_GB2312" w:eastAsia="仿宋_GB2312" w:hAnsi="仿宋_GB2312"/>
          <w:sz w:val="32"/>
          <w:lang w:eastAsia="zh-CN"/>
        </w:rPr>
        <w:t>“</w:t>
      </w:r>
      <w:r>
        <w:rPr>
          <w:rFonts w:ascii="仿宋_GB2312" w:eastAsia="仿宋_GB2312" w:hAnsi="仿宋_GB2312"/>
          <w:sz w:val="32"/>
          <w:lang w:eastAsia="zh-CN"/>
        </w:rPr>
        <w:t>就近就地</w:t>
      </w:r>
      <w:r>
        <w:rPr>
          <w:rFonts w:ascii="仿宋_GB2312" w:eastAsia="仿宋_GB2312" w:hAnsi="仿宋_GB2312"/>
          <w:sz w:val="32"/>
          <w:lang w:eastAsia="zh-CN"/>
        </w:rPr>
        <w:t>”</w:t>
      </w:r>
      <w:r>
        <w:rPr>
          <w:rFonts w:ascii="仿宋_GB2312" w:eastAsia="仿宋_GB2312" w:hAnsi="仿宋_GB2312"/>
          <w:sz w:val="32"/>
          <w:lang w:eastAsia="zh-CN"/>
        </w:rPr>
        <w:t>以妥善处理、不污染环境为前提，不免除随意倾倒、堆放、焚烧的法律责任</w:t>
      </w:r>
      <w:r>
        <w:rPr>
          <w:rFonts w:ascii="仿宋_GB2312" w:eastAsia="仿宋_GB2312" w:hAnsi="仿宋_GB2312" w:hint="eastAsia"/>
          <w:sz w:val="32"/>
          <w:lang w:eastAsia="zh-CN"/>
        </w:rPr>
        <w:t>。</w:t>
      </w:r>
    </w:p>
    <w:sectPr w:rsidR="004B2313" w:rsidSect="004B2313">
      <w:footerReference w:type="default" r:id="rId8"/>
      <w:pgSz w:w="11906" w:h="16838"/>
      <w:pgMar w:top="1701" w:right="1474" w:bottom="1417" w:left="158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273F" w:rsidRDefault="009A273F">
      <w:pPr>
        <w:spacing w:line="240" w:lineRule="auto"/>
      </w:pPr>
      <w:r>
        <w:separator/>
      </w:r>
    </w:p>
  </w:endnote>
  <w:endnote w:type="continuationSeparator" w:id="0">
    <w:p w:rsidR="009A273F" w:rsidRDefault="009A273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835474"/>
      <w:docPartObj>
        <w:docPartGallery w:val="AutoText"/>
      </w:docPartObj>
    </w:sdtPr>
    <w:sdtContent>
      <w:p w:rsidR="004B2313" w:rsidRDefault="004B2313">
        <w:pPr>
          <w:pStyle w:val="a9"/>
          <w:jc w:val="center"/>
        </w:pPr>
        <w:r>
          <w:fldChar w:fldCharType="begin"/>
        </w:r>
        <w:r w:rsidR="009A273F">
          <w:instrText>PAGE   \* MERGEFORMAT</w:instrText>
        </w:r>
        <w:r>
          <w:fldChar w:fldCharType="separate"/>
        </w:r>
        <w:r w:rsidR="006C33D8" w:rsidRPr="006C33D8">
          <w:rPr>
            <w:noProof/>
            <w:lang w:val="zh-CN" w:eastAsia="zh-CN"/>
          </w:rPr>
          <w:t>1</w:t>
        </w:r>
        <w:r>
          <w:fldChar w:fldCharType="end"/>
        </w:r>
      </w:p>
    </w:sdtContent>
  </w:sdt>
  <w:p w:rsidR="004B2313" w:rsidRDefault="004B231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273F" w:rsidRDefault="009A273F">
      <w:pPr>
        <w:spacing w:after="0"/>
      </w:pPr>
      <w:r>
        <w:separator/>
      </w:r>
    </w:p>
  </w:footnote>
  <w:footnote w:type="continuationSeparator" w:id="0">
    <w:p w:rsidR="009A273F" w:rsidRDefault="009A273F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5074B"/>
    <w:rsid w:val="00266073"/>
    <w:rsid w:val="0029639D"/>
    <w:rsid w:val="00326F90"/>
    <w:rsid w:val="0036385D"/>
    <w:rsid w:val="003F398A"/>
    <w:rsid w:val="004B2313"/>
    <w:rsid w:val="005A2EE0"/>
    <w:rsid w:val="006C33D8"/>
    <w:rsid w:val="009A273F"/>
    <w:rsid w:val="00A07680"/>
    <w:rsid w:val="00A12DF7"/>
    <w:rsid w:val="00AA1D8D"/>
    <w:rsid w:val="00B47730"/>
    <w:rsid w:val="00CB0664"/>
    <w:rsid w:val="00D066E3"/>
    <w:rsid w:val="00FC693F"/>
    <w:rsid w:val="1F5E4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toa heading" w:semiHidden="1"/>
    <w:lsdException w:name="List 3" w:qFormat="1"/>
    <w:lsdException w:name="List 4" w:semiHidden="1"/>
    <w:lsdException w:name="List 5" w:semiHidden="1"/>
    <w:lsdException w:name="List Bullet 2" w:qFormat="1"/>
    <w:lsdException w:name="List Bullet 4" w:semiHidden="1"/>
    <w:lsdException w:name="List Bullet 5" w:semiHidden="1"/>
    <w:lsdException w:name="List Number 2" w:qFormat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 w:qFormat="1"/>
    <w:lsdException w:name="Body Text Indent" w:semiHidden="1"/>
    <w:lsdException w:name="List Continue 2" w:qFormat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qFormat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59" w:unhideWhenUsed="0"/>
    <w:lsdException w:name="Table Theme" w:semiHidden="1"/>
    <w:lsdException w:name="Placeholder Text" w:semiHidden="1"/>
    <w:lsdException w:name="No Spacing" w:uiPriority="1" w:unhideWhenUsed="0" w:qFormat="1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1">
    <w:name w:val="Normal"/>
    <w:qFormat/>
    <w:rsid w:val="004B231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Char"/>
    <w:uiPriority w:val="9"/>
    <w:qFormat/>
    <w:rsid w:val="004B23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4B23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4B231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4B231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4B231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4B231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4B231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4B231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4B231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Char"/>
    <w:uiPriority w:val="99"/>
    <w:unhideWhenUsed/>
    <w:rsid w:val="004B2313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2">
    <w:name w:val="List 3"/>
    <w:basedOn w:val="a1"/>
    <w:uiPriority w:val="99"/>
    <w:unhideWhenUsed/>
    <w:qFormat/>
    <w:rsid w:val="004B2313"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rsid w:val="004B2313"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rsid w:val="004B2313"/>
    <w:pPr>
      <w:numPr>
        <w:numId w:val="2"/>
      </w:numPr>
      <w:contextualSpacing/>
    </w:pPr>
  </w:style>
  <w:style w:type="paragraph" w:styleId="a6">
    <w:name w:val="caption"/>
    <w:basedOn w:val="a1"/>
    <w:next w:val="a1"/>
    <w:uiPriority w:val="35"/>
    <w:semiHidden/>
    <w:unhideWhenUsed/>
    <w:qFormat/>
    <w:rsid w:val="004B231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rsid w:val="004B2313"/>
    <w:pPr>
      <w:numPr>
        <w:numId w:val="3"/>
      </w:numPr>
      <w:contextualSpacing/>
    </w:pPr>
  </w:style>
  <w:style w:type="paragraph" w:styleId="33">
    <w:name w:val="Body Text 3"/>
    <w:basedOn w:val="a1"/>
    <w:link w:val="3Char0"/>
    <w:uiPriority w:val="99"/>
    <w:unhideWhenUsed/>
    <w:rsid w:val="004B2313"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rsid w:val="004B2313"/>
    <w:pPr>
      <w:numPr>
        <w:numId w:val="4"/>
      </w:numPr>
      <w:contextualSpacing/>
    </w:pPr>
  </w:style>
  <w:style w:type="paragraph" w:styleId="a7">
    <w:name w:val="Body Text"/>
    <w:basedOn w:val="a1"/>
    <w:link w:val="Char0"/>
    <w:uiPriority w:val="99"/>
    <w:unhideWhenUsed/>
    <w:rsid w:val="004B2313"/>
    <w:pPr>
      <w:spacing w:after="120"/>
    </w:pPr>
  </w:style>
  <w:style w:type="paragraph" w:styleId="3">
    <w:name w:val="List Number 3"/>
    <w:basedOn w:val="a1"/>
    <w:uiPriority w:val="99"/>
    <w:unhideWhenUsed/>
    <w:rsid w:val="004B2313"/>
    <w:pPr>
      <w:numPr>
        <w:numId w:val="5"/>
      </w:numPr>
      <w:contextualSpacing/>
    </w:pPr>
  </w:style>
  <w:style w:type="paragraph" w:styleId="22">
    <w:name w:val="List 2"/>
    <w:basedOn w:val="a1"/>
    <w:uiPriority w:val="99"/>
    <w:unhideWhenUsed/>
    <w:rsid w:val="004B2313"/>
    <w:pPr>
      <w:ind w:left="720" w:hanging="360"/>
      <w:contextualSpacing/>
    </w:pPr>
  </w:style>
  <w:style w:type="paragraph" w:styleId="a8">
    <w:name w:val="List Continue"/>
    <w:basedOn w:val="a1"/>
    <w:uiPriority w:val="99"/>
    <w:unhideWhenUsed/>
    <w:rsid w:val="004B2313"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rsid w:val="004B2313"/>
    <w:pPr>
      <w:numPr>
        <w:numId w:val="6"/>
      </w:numPr>
      <w:contextualSpacing/>
    </w:pPr>
  </w:style>
  <w:style w:type="paragraph" w:styleId="a9">
    <w:name w:val="footer"/>
    <w:basedOn w:val="a1"/>
    <w:link w:val="Char1"/>
    <w:uiPriority w:val="99"/>
    <w:unhideWhenUsed/>
    <w:rsid w:val="004B2313"/>
    <w:pPr>
      <w:tabs>
        <w:tab w:val="center" w:pos="4680"/>
        <w:tab w:val="right" w:pos="9360"/>
      </w:tabs>
      <w:spacing w:after="0" w:line="240" w:lineRule="auto"/>
    </w:pPr>
  </w:style>
  <w:style w:type="paragraph" w:styleId="aa">
    <w:name w:val="header"/>
    <w:basedOn w:val="a1"/>
    <w:link w:val="Char2"/>
    <w:uiPriority w:val="99"/>
    <w:unhideWhenUsed/>
    <w:qFormat/>
    <w:rsid w:val="004B2313"/>
    <w:pPr>
      <w:tabs>
        <w:tab w:val="center" w:pos="4680"/>
        <w:tab w:val="right" w:pos="9360"/>
      </w:tabs>
      <w:spacing w:after="0" w:line="240" w:lineRule="auto"/>
    </w:pPr>
  </w:style>
  <w:style w:type="paragraph" w:styleId="ab">
    <w:name w:val="Subtitle"/>
    <w:basedOn w:val="a1"/>
    <w:next w:val="a1"/>
    <w:link w:val="Char3"/>
    <w:uiPriority w:val="11"/>
    <w:qFormat/>
    <w:rsid w:val="004B231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c">
    <w:name w:val="List"/>
    <w:basedOn w:val="a1"/>
    <w:uiPriority w:val="99"/>
    <w:unhideWhenUsed/>
    <w:rsid w:val="004B2313"/>
    <w:pPr>
      <w:ind w:left="360" w:hanging="360"/>
      <w:contextualSpacing/>
    </w:pPr>
  </w:style>
  <w:style w:type="paragraph" w:styleId="23">
    <w:name w:val="Body Text 2"/>
    <w:basedOn w:val="a1"/>
    <w:link w:val="2Char0"/>
    <w:uiPriority w:val="99"/>
    <w:unhideWhenUsed/>
    <w:qFormat/>
    <w:rsid w:val="004B2313"/>
    <w:pPr>
      <w:spacing w:after="120" w:line="480" w:lineRule="auto"/>
    </w:pPr>
  </w:style>
  <w:style w:type="paragraph" w:styleId="24">
    <w:name w:val="List Continue 2"/>
    <w:basedOn w:val="a1"/>
    <w:uiPriority w:val="99"/>
    <w:unhideWhenUsed/>
    <w:qFormat/>
    <w:rsid w:val="004B2313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4B2313"/>
    <w:pPr>
      <w:spacing w:after="120"/>
      <w:ind w:left="1080"/>
      <w:contextualSpacing/>
    </w:pPr>
  </w:style>
  <w:style w:type="paragraph" w:styleId="ad">
    <w:name w:val="Title"/>
    <w:basedOn w:val="a1"/>
    <w:next w:val="a1"/>
    <w:link w:val="Char4"/>
    <w:uiPriority w:val="10"/>
    <w:qFormat/>
    <w:rsid w:val="004B231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e">
    <w:name w:val="Table Grid"/>
    <w:basedOn w:val="a3"/>
    <w:uiPriority w:val="59"/>
    <w:rsid w:val="004B23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Light Shading"/>
    <w:basedOn w:val="a3"/>
    <w:uiPriority w:val="60"/>
    <w:rsid w:val="004B2313"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4B2313"/>
    <w:rPr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4B2313"/>
    <w:rPr>
      <w:color w:val="943634" w:themeColor="accent2" w:themeShade="BF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4B2313"/>
    <w:rPr>
      <w:color w:val="76923C" w:themeColor="accent3" w:themeShade="BF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4B2313"/>
    <w:rPr>
      <w:color w:val="5F497A" w:themeColor="accent4" w:themeShade="BF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4B2313"/>
    <w:rPr>
      <w:color w:val="31849B" w:themeColor="accent5" w:themeShade="BF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4B2313"/>
    <w:rPr>
      <w:color w:val="E36C0A" w:themeColor="accent6" w:themeShade="BF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0">
    <w:name w:val="Light List"/>
    <w:basedOn w:val="a3"/>
    <w:uiPriority w:val="61"/>
    <w:rsid w:val="004B2313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4B2313"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4B2313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4B2313"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4B2313"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4B2313"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4B2313"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1">
    <w:name w:val="Light Grid"/>
    <w:basedOn w:val="a3"/>
    <w:uiPriority w:val="62"/>
    <w:rsid w:val="004B2313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rsid w:val="004B2313"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rsid w:val="004B2313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rsid w:val="004B2313"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rsid w:val="004B2313"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rsid w:val="004B2313"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rsid w:val="004B2313"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0">
    <w:name w:val="Medium Shading 1"/>
    <w:basedOn w:val="a3"/>
    <w:uiPriority w:val="63"/>
    <w:rsid w:val="004B2313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4B2313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4B2313"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4B2313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4B2313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4B2313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4B2313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4B2313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4B2313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4B2313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4B2313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4B2313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4B2313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4B2313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4B2313"/>
    <w:rPr>
      <w:color w:val="000000" w:themeColor="text1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4B2313"/>
    <w:rPr>
      <w:color w:val="000000" w:themeColor="text1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4B2313"/>
    <w:rPr>
      <w:color w:val="000000" w:themeColor="text1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4B2313"/>
    <w:rPr>
      <w:color w:val="000000" w:themeColor="text1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4B2313"/>
    <w:rPr>
      <w:color w:val="000000" w:themeColor="text1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4B2313"/>
    <w:rPr>
      <w:color w:val="000000" w:themeColor="text1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4B2313"/>
    <w:rPr>
      <w:color w:val="000000" w:themeColor="text1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4B231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4B231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4B231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4B231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4B231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4B231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4B231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4B2313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4B2313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4B2313"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4B2313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4B2313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4B2313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4B2313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4B231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4B231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4B231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4B231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4B231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4B231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4B231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4B2313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4B2313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4B2313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4B2313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4B2313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4B2313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4B2313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2">
    <w:name w:val="Dark List"/>
    <w:basedOn w:val="a3"/>
    <w:uiPriority w:val="70"/>
    <w:rsid w:val="004B2313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4B2313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4B2313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4B2313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4B2313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4B2313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4B2313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3">
    <w:name w:val="Colorful Shading"/>
    <w:basedOn w:val="a3"/>
    <w:uiPriority w:val="71"/>
    <w:rsid w:val="004B2313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4B2313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4B2313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4B2313"/>
    <w:rPr>
      <w:color w:val="000000" w:themeColor="text1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4B2313"/>
    <w:rPr>
      <w:color w:val="000000" w:themeColor="text1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4B2313"/>
    <w:rPr>
      <w:color w:val="000000" w:themeColor="text1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4B2313"/>
    <w:rPr>
      <w:color w:val="000000" w:themeColor="text1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4">
    <w:name w:val="Colorful List"/>
    <w:basedOn w:val="a3"/>
    <w:uiPriority w:val="72"/>
    <w:rsid w:val="004B2313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4B2313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4B2313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4B2313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4B2313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4B2313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4B2313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5">
    <w:name w:val="Colorful Grid"/>
    <w:basedOn w:val="a3"/>
    <w:uiPriority w:val="73"/>
    <w:rsid w:val="004B231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4B231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4B231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4B231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4B231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4B231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4B231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6">
    <w:name w:val="Strong"/>
    <w:basedOn w:val="a2"/>
    <w:uiPriority w:val="22"/>
    <w:qFormat/>
    <w:rsid w:val="004B2313"/>
    <w:rPr>
      <w:b/>
      <w:bCs/>
    </w:rPr>
  </w:style>
  <w:style w:type="character" w:styleId="af7">
    <w:name w:val="Emphasis"/>
    <w:basedOn w:val="a2"/>
    <w:uiPriority w:val="20"/>
    <w:qFormat/>
    <w:rsid w:val="004B2313"/>
    <w:rPr>
      <w:i/>
      <w:iCs/>
    </w:rPr>
  </w:style>
  <w:style w:type="character" w:customStyle="1" w:styleId="Char2">
    <w:name w:val="页眉 Char"/>
    <w:basedOn w:val="a2"/>
    <w:link w:val="aa"/>
    <w:uiPriority w:val="99"/>
    <w:rsid w:val="004B2313"/>
  </w:style>
  <w:style w:type="character" w:customStyle="1" w:styleId="Char1">
    <w:name w:val="页脚 Char"/>
    <w:basedOn w:val="a2"/>
    <w:link w:val="a9"/>
    <w:uiPriority w:val="99"/>
    <w:qFormat/>
    <w:rsid w:val="004B2313"/>
  </w:style>
  <w:style w:type="paragraph" w:styleId="af8">
    <w:name w:val="No Spacing"/>
    <w:uiPriority w:val="1"/>
    <w:qFormat/>
    <w:rsid w:val="004B2313"/>
    <w:rPr>
      <w:sz w:val="22"/>
      <w:szCs w:val="22"/>
      <w:lang w:eastAsia="en-US"/>
    </w:rPr>
  </w:style>
  <w:style w:type="character" w:customStyle="1" w:styleId="1Char">
    <w:name w:val="标题 1 Char"/>
    <w:basedOn w:val="a2"/>
    <w:link w:val="1"/>
    <w:uiPriority w:val="9"/>
    <w:rsid w:val="004B23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qFormat/>
    <w:rsid w:val="004B23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rsid w:val="004B231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har4">
    <w:name w:val="标题 Char"/>
    <w:basedOn w:val="a2"/>
    <w:link w:val="ad"/>
    <w:uiPriority w:val="10"/>
    <w:rsid w:val="004B23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3">
    <w:name w:val="副标题 Char"/>
    <w:basedOn w:val="a2"/>
    <w:link w:val="ab"/>
    <w:uiPriority w:val="11"/>
    <w:rsid w:val="004B231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9">
    <w:name w:val="List Paragraph"/>
    <w:basedOn w:val="a1"/>
    <w:uiPriority w:val="34"/>
    <w:qFormat/>
    <w:rsid w:val="004B2313"/>
    <w:pPr>
      <w:ind w:left="720"/>
      <w:contextualSpacing/>
    </w:pPr>
  </w:style>
  <w:style w:type="character" w:customStyle="1" w:styleId="Char0">
    <w:name w:val="正文文本 Char"/>
    <w:basedOn w:val="a2"/>
    <w:link w:val="a7"/>
    <w:uiPriority w:val="99"/>
    <w:rsid w:val="004B2313"/>
  </w:style>
  <w:style w:type="character" w:customStyle="1" w:styleId="2Char0">
    <w:name w:val="正文文本 2 Char"/>
    <w:basedOn w:val="a2"/>
    <w:link w:val="23"/>
    <w:uiPriority w:val="99"/>
    <w:rsid w:val="004B2313"/>
  </w:style>
  <w:style w:type="character" w:customStyle="1" w:styleId="3Char0">
    <w:name w:val="正文文本 3 Char"/>
    <w:basedOn w:val="a2"/>
    <w:link w:val="33"/>
    <w:uiPriority w:val="99"/>
    <w:qFormat/>
    <w:rsid w:val="004B2313"/>
    <w:rPr>
      <w:sz w:val="16"/>
      <w:szCs w:val="16"/>
    </w:rPr>
  </w:style>
  <w:style w:type="character" w:customStyle="1" w:styleId="Char">
    <w:name w:val="宏文本 Char"/>
    <w:basedOn w:val="a2"/>
    <w:link w:val="a5"/>
    <w:uiPriority w:val="99"/>
    <w:qFormat/>
    <w:rsid w:val="004B2313"/>
    <w:rPr>
      <w:rFonts w:ascii="Courier" w:hAnsi="Courier"/>
      <w:sz w:val="20"/>
      <w:szCs w:val="20"/>
    </w:rPr>
  </w:style>
  <w:style w:type="paragraph" w:styleId="afa">
    <w:name w:val="Quote"/>
    <w:basedOn w:val="a1"/>
    <w:next w:val="a1"/>
    <w:link w:val="Char5"/>
    <w:uiPriority w:val="29"/>
    <w:qFormat/>
    <w:rsid w:val="004B2313"/>
    <w:rPr>
      <w:i/>
      <w:iCs/>
      <w:color w:val="000000" w:themeColor="text1"/>
    </w:rPr>
  </w:style>
  <w:style w:type="character" w:customStyle="1" w:styleId="Char5">
    <w:name w:val="引用 Char"/>
    <w:basedOn w:val="a2"/>
    <w:link w:val="afa"/>
    <w:uiPriority w:val="29"/>
    <w:rsid w:val="004B2313"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qFormat/>
    <w:rsid w:val="004B231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rsid w:val="004B2313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Char">
    <w:name w:val="标题 6 Char"/>
    <w:basedOn w:val="a2"/>
    <w:link w:val="6"/>
    <w:uiPriority w:val="9"/>
    <w:semiHidden/>
    <w:rsid w:val="004B2313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Char">
    <w:name w:val="标题 7 Char"/>
    <w:basedOn w:val="a2"/>
    <w:link w:val="7"/>
    <w:uiPriority w:val="9"/>
    <w:semiHidden/>
    <w:qFormat/>
    <w:rsid w:val="004B231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rsid w:val="004B231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rsid w:val="004B231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b">
    <w:name w:val="Intense Quote"/>
    <w:basedOn w:val="a1"/>
    <w:next w:val="a1"/>
    <w:link w:val="Char6"/>
    <w:uiPriority w:val="30"/>
    <w:qFormat/>
    <w:rsid w:val="004B231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明显引用 Char"/>
    <w:basedOn w:val="a2"/>
    <w:link w:val="afb"/>
    <w:uiPriority w:val="30"/>
    <w:rsid w:val="004B2313"/>
    <w:rPr>
      <w:b/>
      <w:bCs/>
      <w:i/>
      <w:iCs/>
      <w:color w:val="4F81BD" w:themeColor="accent1"/>
    </w:rPr>
  </w:style>
  <w:style w:type="character" w:customStyle="1" w:styleId="13">
    <w:name w:val="不明显强调1"/>
    <w:basedOn w:val="a2"/>
    <w:uiPriority w:val="19"/>
    <w:qFormat/>
    <w:rsid w:val="004B2313"/>
    <w:rPr>
      <w:i/>
      <w:iCs/>
      <w:color w:val="7F7F7F" w:themeColor="text1" w:themeTint="80"/>
    </w:rPr>
  </w:style>
  <w:style w:type="character" w:customStyle="1" w:styleId="14">
    <w:name w:val="明显强调1"/>
    <w:basedOn w:val="a2"/>
    <w:uiPriority w:val="21"/>
    <w:qFormat/>
    <w:rsid w:val="004B2313"/>
    <w:rPr>
      <w:b/>
      <w:bCs/>
      <w:i/>
      <w:iCs/>
      <w:color w:val="4F81BD" w:themeColor="accent1"/>
    </w:rPr>
  </w:style>
  <w:style w:type="character" w:customStyle="1" w:styleId="15">
    <w:name w:val="不明显参考1"/>
    <w:basedOn w:val="a2"/>
    <w:uiPriority w:val="31"/>
    <w:qFormat/>
    <w:rsid w:val="004B2313"/>
    <w:rPr>
      <w:smallCaps/>
      <w:color w:val="C0504D" w:themeColor="accent2"/>
      <w:u w:val="single"/>
    </w:rPr>
  </w:style>
  <w:style w:type="character" w:customStyle="1" w:styleId="16">
    <w:name w:val="明显参考1"/>
    <w:basedOn w:val="a2"/>
    <w:uiPriority w:val="32"/>
    <w:qFormat/>
    <w:rsid w:val="004B2313"/>
    <w:rPr>
      <w:b/>
      <w:bCs/>
      <w:smallCaps/>
      <w:color w:val="C0504D" w:themeColor="accent2"/>
      <w:spacing w:val="5"/>
      <w:u w:val="single"/>
    </w:rPr>
  </w:style>
  <w:style w:type="character" w:customStyle="1" w:styleId="17">
    <w:name w:val="书籍标题1"/>
    <w:basedOn w:val="a2"/>
    <w:uiPriority w:val="33"/>
    <w:qFormat/>
    <w:rsid w:val="004B2313"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rsid w:val="004B2313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DACA61-7ED4-4032-B14B-725DD4FAA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Administrator</cp:lastModifiedBy>
  <cp:revision>2</cp:revision>
  <dcterms:created xsi:type="dcterms:W3CDTF">2026-10-09T02:40:00Z</dcterms:created>
  <dcterms:modified xsi:type="dcterms:W3CDTF">2026-10-09T02:40:00Z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eyJoZGlkIjoiMjgzZDc5ZDU2OWRkM2RjNTFlODBmZWYyMmRkNWZkZTQiLCJ1c2VySWQiOiIyODcxNTcxNTYifQ==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068945EF97564069ADC33917BDF5079B_13</vt:lpwstr>
  </property>
</Properties>
</file>