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D1B" w:rsidRDefault="00101D1B" w:rsidP="0089255F">
      <w:pPr>
        <w:spacing w:line="579" w:lineRule="exact"/>
        <w:rPr>
          <w:rFonts w:ascii="黑体" w:eastAsia="黑体" w:hAnsi="黑体" w:cs="Times New Roman"/>
          <w:sz w:val="32"/>
          <w:szCs w:val="32"/>
        </w:rPr>
      </w:pPr>
      <w:r>
        <w:rPr>
          <w:rFonts w:ascii="黑体" w:eastAsia="黑体" w:hAnsi="黑体" w:cs="黑体" w:hint="eastAsia"/>
          <w:sz w:val="32"/>
          <w:szCs w:val="32"/>
        </w:rPr>
        <w:t>附件</w:t>
      </w:r>
    </w:p>
    <w:p w:rsidR="00101D1B" w:rsidRDefault="00101D1B" w:rsidP="0089255F">
      <w:pPr>
        <w:spacing w:line="579" w:lineRule="exact"/>
        <w:jc w:val="center"/>
        <w:rPr>
          <w:rFonts w:ascii="方正小标宋简体" w:eastAsia="方正小标宋简体" w:hAnsi="方正小标宋简体" w:cs="Times New Roman"/>
          <w:sz w:val="44"/>
          <w:szCs w:val="44"/>
        </w:rPr>
      </w:pPr>
    </w:p>
    <w:p w:rsidR="00101D1B" w:rsidRDefault="00101D1B" w:rsidP="0089255F">
      <w:pPr>
        <w:spacing w:line="579" w:lineRule="exact"/>
        <w:jc w:val="center"/>
        <w:rPr>
          <w:rFonts w:ascii="方正小标宋简体" w:eastAsia="方正小标宋简体" w:hAnsi="方正小标宋简体" w:cs="Times New Roman"/>
          <w:sz w:val="44"/>
          <w:szCs w:val="44"/>
        </w:rPr>
      </w:pPr>
      <w:r>
        <w:rPr>
          <w:rFonts w:ascii="方正小标宋简体" w:eastAsia="方正小标宋简体" w:hAnsi="方正小标宋简体" w:cs="方正小标宋简体" w:hint="eastAsia"/>
          <w:sz w:val="44"/>
          <w:szCs w:val="44"/>
        </w:rPr>
        <w:t>关于进一步加强绿色建筑全过程</w:t>
      </w:r>
    </w:p>
    <w:p w:rsidR="00101D1B" w:rsidRDefault="00101D1B" w:rsidP="0089255F">
      <w:pPr>
        <w:spacing w:line="579" w:lineRule="exact"/>
        <w:jc w:val="center"/>
        <w:rPr>
          <w:rFonts w:ascii="方正小标宋简体" w:eastAsia="方正小标宋简体" w:hAnsi="方正小标宋简体" w:cs="Times New Roman"/>
          <w:sz w:val="44"/>
          <w:szCs w:val="44"/>
        </w:rPr>
      </w:pPr>
      <w:r>
        <w:rPr>
          <w:rFonts w:ascii="方正小标宋简体" w:eastAsia="方正小标宋简体" w:hAnsi="方正小标宋简体" w:cs="方正小标宋简体" w:hint="eastAsia"/>
          <w:sz w:val="44"/>
          <w:szCs w:val="44"/>
        </w:rPr>
        <w:t>监管工作的通知</w:t>
      </w:r>
    </w:p>
    <w:p w:rsidR="00101D1B" w:rsidRDefault="00101D1B" w:rsidP="0089255F">
      <w:pPr>
        <w:spacing w:line="579" w:lineRule="exact"/>
        <w:jc w:val="center"/>
        <w:rPr>
          <w:rFonts w:ascii="楷体_GB2312" w:eastAsia="楷体_GB2312" w:hAnsi="楷体_GB2312" w:cs="Times New Roman"/>
          <w:sz w:val="32"/>
          <w:szCs w:val="32"/>
        </w:rPr>
      </w:pPr>
      <w:r>
        <w:rPr>
          <w:rFonts w:ascii="楷体_GB2312" w:eastAsia="楷体_GB2312" w:hAnsi="楷体_GB2312" w:cs="楷体_GB2312" w:hint="eastAsia"/>
          <w:sz w:val="32"/>
          <w:szCs w:val="32"/>
        </w:rPr>
        <w:t>（征求意见稿）</w:t>
      </w:r>
    </w:p>
    <w:p w:rsidR="00101D1B" w:rsidRDefault="00101D1B" w:rsidP="0089255F">
      <w:pPr>
        <w:spacing w:line="579" w:lineRule="exact"/>
        <w:ind w:firstLineChars="200" w:firstLine="31680"/>
        <w:rPr>
          <w:rFonts w:ascii="仿宋_GB2312" w:eastAsia="仿宋_GB2312" w:hAnsi="仿宋_GB2312" w:cs="Times New Roman"/>
          <w:sz w:val="32"/>
          <w:szCs w:val="32"/>
        </w:rPr>
      </w:pPr>
    </w:p>
    <w:p w:rsidR="00101D1B" w:rsidRDefault="00101D1B" w:rsidP="0089255F">
      <w:pPr>
        <w:spacing w:line="579" w:lineRule="exact"/>
        <w:rPr>
          <w:rFonts w:ascii="仿宋_GB2312" w:eastAsia="仿宋_GB2312" w:hAnsi="仿宋_GB2312" w:cs="Times New Roman"/>
          <w:sz w:val="32"/>
          <w:szCs w:val="32"/>
        </w:rPr>
      </w:pPr>
      <w:r>
        <w:rPr>
          <w:rFonts w:ascii="仿宋_GB2312" w:eastAsia="仿宋_GB2312" w:hAnsi="仿宋_GB2312" w:cs="仿宋_GB2312" w:hint="eastAsia"/>
          <w:sz w:val="32"/>
          <w:szCs w:val="32"/>
        </w:rPr>
        <w:t>各市（州）、县（市、区）住房城乡建设局、发展改革委（局）、自然资源局、机关事务管理局：</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仿宋_GB2312" w:eastAsia="仿宋_GB2312" w:hAnsi="仿宋_GB2312" w:cs="仿宋_GB2312" w:hint="eastAsia"/>
          <w:sz w:val="32"/>
          <w:szCs w:val="32"/>
        </w:rPr>
        <w:t>为深入贯彻《“十五五”碳达峰行动方案》，推动绿色建筑高质量发展，进一步强化部门协同、压实主体责任，构建绿色建筑从立项、土地出让、建设到运行的全过程闭环监管体系，依据《吉林省绿色建筑发展条例》（以下简称《条例》），现就有关事项通知如下：</w:t>
      </w:r>
    </w:p>
    <w:p w:rsidR="00101D1B" w:rsidRDefault="00101D1B" w:rsidP="0089255F">
      <w:pPr>
        <w:numPr>
          <w:ilvl w:val="0"/>
          <w:numId w:val="1"/>
        </w:num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绿色建筑总体要求</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（一）绿色建筑等级。</w:t>
      </w:r>
      <w:r>
        <w:rPr>
          <w:rFonts w:ascii="仿宋_GB2312" w:eastAsia="仿宋_GB2312" w:hAnsi="仿宋_GB2312" w:cs="仿宋_GB2312" w:hint="eastAsia"/>
          <w:sz w:val="32"/>
          <w:szCs w:val="32"/>
        </w:rPr>
        <w:t>城镇建设用地范围内的新建民用建筑，应当按照基本级以上绿色建筑标准建设。大型公共建筑和国家机关办公建筑、国有资金参与投资建设的其他公共建筑应当按照一星级以上绿色建筑标准进行建设，并鼓励执行超低能耗建筑标准。</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（二）绿色建材使用。</w:t>
      </w:r>
      <w:r>
        <w:rPr>
          <w:rFonts w:ascii="仿宋_GB2312" w:eastAsia="仿宋_GB2312" w:hAnsi="仿宋_GB2312" w:cs="仿宋_GB2312" w:hint="eastAsia"/>
          <w:sz w:val="32"/>
          <w:szCs w:val="32"/>
        </w:rPr>
        <w:t>政府性资金参与投资建设的建筑工程应当优先采购和使用绿色建材。长春市和延边州医院、学校、办公楼、综合体、展览馆、会展中心、体育馆、保障性住房等新建政府采购工程项目应当采购和使用符合相关标准的绿色建材。</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（三）可再生能源利用。</w:t>
      </w:r>
      <w:r>
        <w:rPr>
          <w:rFonts w:ascii="仿宋_GB2312" w:eastAsia="仿宋_GB2312" w:hAnsi="仿宋_GB2312" w:cs="仿宋_GB2312" w:hint="eastAsia"/>
          <w:sz w:val="32"/>
          <w:szCs w:val="32"/>
        </w:rPr>
        <w:t>新建建筑应当安装太阳能系统。鼓励国家机关、学校、医院、大型商场、交通场站、工业园区等单位在其建筑屋面安装分布式光伏发电系统，新建建筑应装尽装。推动既有建筑屋顶充分加装光伏光热系统。提高终端用能电气化水平，加快食堂灶具、医疗消毒设备等电气化替代，</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（四）绿色建筑星级标识。</w:t>
      </w:r>
      <w:r>
        <w:rPr>
          <w:rFonts w:ascii="仿宋_GB2312" w:eastAsia="仿宋_GB2312" w:hAnsi="仿宋_GB2312" w:cs="仿宋_GB2312" w:hint="eastAsia"/>
          <w:sz w:val="32"/>
          <w:szCs w:val="32"/>
        </w:rPr>
        <w:t>国家机关办公建筑及国有资金参与投资建设的其他公共建筑应当申报绿色建筑标识。</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二、明确管理职责，强化部门联动</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仿宋_GB2312" w:eastAsia="仿宋_GB2312" w:hAnsi="仿宋_GB2312" w:cs="仿宋_GB2312" w:hint="eastAsia"/>
          <w:sz w:val="32"/>
          <w:szCs w:val="32"/>
        </w:rPr>
        <w:t>各级住房城乡建设、发展改革、自然资源、机关事务管理等主管部门应建立绿色建筑协同工作机制，依据职责分工细化责任清单与工作衔接，加强信息共享、联合监管和结果互认。</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（一）发展改革部门。</w:t>
      </w:r>
      <w:r>
        <w:rPr>
          <w:rFonts w:ascii="仿宋_GB2312" w:eastAsia="仿宋_GB2312" w:hAnsi="仿宋_GB2312" w:cs="仿宋_GB2312" w:hint="eastAsia"/>
          <w:sz w:val="32"/>
          <w:szCs w:val="32"/>
        </w:rPr>
        <w:t>负责固定资产投资项目节能审查和项目审批（核准、备案）环节的绿色建筑要求落实，督促建设单位明确绿色建筑等级，并将绿色建筑增量成本纳入项目总投资。</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（二）自然资源部门。</w:t>
      </w:r>
      <w:r>
        <w:rPr>
          <w:rFonts w:ascii="仿宋_GB2312" w:eastAsia="仿宋_GB2312" w:hAnsi="仿宋_GB2312" w:cs="仿宋_GB2312" w:hint="eastAsia"/>
          <w:sz w:val="32"/>
          <w:szCs w:val="32"/>
        </w:rPr>
        <w:t>负责土地供应、规划建设条件核提、规划设计方案审查等环节，落实绿色建筑等级要求，并在建设工程规划许可证中注明建设用地规划条件中明确的绿色建筑标准等级要求。</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（三）住房和城乡建设部门。</w:t>
      </w:r>
      <w:r>
        <w:rPr>
          <w:rFonts w:ascii="仿宋_GB2312" w:eastAsia="仿宋_GB2312" w:hAnsi="仿宋_GB2312" w:cs="仿宋_GB2312" w:hint="eastAsia"/>
          <w:sz w:val="32"/>
          <w:szCs w:val="32"/>
        </w:rPr>
        <w:t>负责绿色建筑设计、审图、施工、验收、运行及标识管理的全面监督。</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（四）机关事务管理部门。</w:t>
      </w:r>
      <w:r>
        <w:rPr>
          <w:rFonts w:ascii="仿宋_GB2312" w:eastAsia="仿宋_GB2312" w:hAnsi="仿宋_GB2312" w:cs="仿宋_GB2312" w:hint="eastAsia"/>
          <w:sz w:val="32"/>
          <w:szCs w:val="32"/>
        </w:rPr>
        <w:t>负责本级国家机关办公建筑绿色建筑运行管理、能耗统计、运行评估和节能绿色改造的组织实施与监督。</w:t>
      </w:r>
    </w:p>
    <w:p w:rsidR="00101D1B" w:rsidRDefault="00101D1B" w:rsidP="0089255F">
      <w:pPr>
        <w:tabs>
          <w:tab w:val="left" w:pos="601"/>
        </w:tabs>
        <w:spacing w:line="579" w:lineRule="exact"/>
        <w:ind w:firstLineChars="200" w:firstLine="31680"/>
        <w:jc w:val="left"/>
        <w:rPr>
          <w:rFonts w:ascii="黑体" w:eastAsia="黑体" w:hAnsi="黑体" w:cs="Times New Roman"/>
          <w:sz w:val="32"/>
          <w:szCs w:val="32"/>
        </w:rPr>
      </w:pPr>
      <w:r>
        <w:rPr>
          <w:rFonts w:ascii="黑体" w:eastAsia="黑体" w:hAnsi="黑体" w:cs="黑体" w:hint="eastAsia"/>
          <w:sz w:val="32"/>
          <w:szCs w:val="32"/>
        </w:rPr>
        <w:t>三、源头管控，严格立项与规划要求</w:t>
      </w:r>
    </w:p>
    <w:p w:rsidR="00101D1B" w:rsidRDefault="00101D1B" w:rsidP="0089255F">
      <w:pPr>
        <w:tabs>
          <w:tab w:val="left" w:pos="601"/>
        </w:tabs>
        <w:spacing w:line="579" w:lineRule="exact"/>
        <w:ind w:firstLineChars="200" w:firstLine="31680"/>
        <w:jc w:val="left"/>
        <w:rPr>
          <w:rFonts w:ascii="仿宋_GB2312" w:eastAsia="仿宋_GB2312" w:hAnsi="仿宋_GB2312" w:cs="Times New Roman"/>
          <w:sz w:val="32"/>
          <w:szCs w:val="32"/>
        </w:rPr>
      </w:pPr>
      <w:r>
        <w:rPr>
          <w:rFonts w:ascii="楷体_GB2312" w:eastAsia="楷体_GB2312" w:hAnsi="楷体_GB2312" w:cs="楷体_GB2312" w:hint="eastAsia"/>
          <w:sz w:val="32"/>
          <w:szCs w:val="32"/>
        </w:rPr>
        <w:t>（一）项目立项。</w:t>
      </w:r>
      <w:r>
        <w:rPr>
          <w:rFonts w:ascii="仿宋_GB2312" w:eastAsia="仿宋_GB2312" w:hAnsi="仿宋_GB2312" w:cs="仿宋_GB2312" w:hint="eastAsia"/>
          <w:sz w:val="32"/>
          <w:szCs w:val="32"/>
        </w:rPr>
        <w:t>发展改革部门在审批政府投资项目可行性研究报告或核准企业投资项目时，应将绿色建筑相关内容纳入固定资产投资项目节能审查范围。未明确绿色建筑等级或技术路径不明晰的，不予立项或核准。</w:t>
      </w:r>
    </w:p>
    <w:p w:rsidR="00101D1B" w:rsidRDefault="00101D1B" w:rsidP="0089255F">
      <w:pPr>
        <w:spacing w:line="579" w:lineRule="exact"/>
        <w:ind w:firstLineChars="200" w:firstLine="31680"/>
        <w:jc w:val="left"/>
        <w:rPr>
          <w:rFonts w:ascii="仿宋_GB2312" w:eastAsia="仿宋_GB2312" w:hAnsi="仿宋_GB2312" w:cs="Times New Roman"/>
          <w:sz w:val="32"/>
          <w:szCs w:val="32"/>
        </w:rPr>
      </w:pPr>
      <w:r>
        <w:rPr>
          <w:rFonts w:ascii="仿宋_GB2312" w:eastAsia="仿宋_GB2312" w:hAnsi="仿宋_GB2312" w:cs="仿宋_GB2312" w:hint="eastAsia"/>
          <w:sz w:val="32"/>
          <w:szCs w:val="32"/>
        </w:rPr>
        <w:t>建设单位为建设项目主体责任人，建设单位在可行性研究报告或项目申请报告中应设“绿色建筑专篇”，明确绿色建筑等级、关键技术路径（如装配式建筑、超低能耗建筑、可再生能源应用、绿色建材应用）、预期节能减排效益及增量成本测算与资金来源。</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（二）规划条件。</w:t>
      </w:r>
      <w:r>
        <w:rPr>
          <w:rFonts w:ascii="仿宋_GB2312" w:eastAsia="仿宋_GB2312" w:hAnsi="仿宋_GB2312" w:cs="仿宋_GB2312" w:hint="eastAsia"/>
          <w:sz w:val="32"/>
          <w:szCs w:val="32"/>
        </w:rPr>
        <w:t>自然资源部门在核提规划建设条件时，应明确绿色建筑等级，将相关要求纳入土地出让合同或划拨决定书附件《市县人民政府自然资源主管部门确定的出让宗地规划条件》。</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（三）规划许可。</w:t>
      </w:r>
      <w:r>
        <w:rPr>
          <w:rFonts w:ascii="仿宋_GB2312" w:eastAsia="仿宋_GB2312" w:hAnsi="仿宋_GB2312" w:cs="仿宋_GB2312" w:hint="eastAsia"/>
          <w:sz w:val="32"/>
          <w:szCs w:val="32"/>
        </w:rPr>
        <w:t>对应当建设为星级绿色建筑的项目，自然资源部门在审查建设工程规划许可证时应重点审查绿色建筑等级，不符合要求的，不予办理建设工程规划许可证。</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四、强化设计与审查管理，严守标准底线</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（一）落实标准。</w:t>
      </w:r>
      <w:r>
        <w:rPr>
          <w:rFonts w:ascii="仿宋_GB2312" w:eastAsia="仿宋_GB2312" w:hAnsi="仿宋_GB2312" w:cs="仿宋_GB2312" w:hint="eastAsia"/>
          <w:sz w:val="32"/>
          <w:szCs w:val="32"/>
        </w:rPr>
        <w:t>设计单位应按照相关标准要求，在项目方案设计明确绿色建筑等级，在初步设计、施工图设计中明确超低能耗、可再生能源、装配率等落实绿色建筑等级目标的技术策略，并按规定编制绿色建筑设计专篇。初步设计审查、施工图审查应当同步对绿色建筑设计专篇进行审查。</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（二）施工图审查。</w:t>
      </w:r>
      <w:r>
        <w:rPr>
          <w:rFonts w:ascii="仿宋_GB2312" w:eastAsia="仿宋_GB2312" w:hAnsi="仿宋_GB2312" w:cs="仿宋_GB2312" w:hint="eastAsia"/>
          <w:sz w:val="32"/>
          <w:szCs w:val="32"/>
        </w:rPr>
        <w:t>施工图审查机构应当对施工图设计文件中绿色建筑设计专篇进行专项审查，在施工图设计文件审查合格书中核定绿色建筑等级。审查重点包括：绿色建筑等级是否达标、技术路径是否可行、计算书是否准确、证明材料是否完整合规。未经审查或审查不合格的，不得出具审查合格书。</w:t>
      </w:r>
    </w:p>
    <w:p w:rsidR="00101D1B" w:rsidRDefault="00101D1B" w:rsidP="0089255F">
      <w:pPr>
        <w:widowControl/>
        <w:spacing w:line="579" w:lineRule="exact"/>
        <w:ind w:firstLineChars="200" w:firstLine="31680"/>
        <w:jc w:val="left"/>
        <w:rPr>
          <w:rFonts w:ascii="仿宋_GB2312" w:eastAsia="仿宋_GB2312" w:hAnsi="仿宋_GB2312" w:cs="Times New Roman"/>
          <w:sz w:val="32"/>
          <w:szCs w:val="32"/>
        </w:rPr>
      </w:pPr>
      <w:r>
        <w:rPr>
          <w:rFonts w:ascii="楷体_GB2312" w:eastAsia="楷体_GB2312" w:hAnsi="楷体_GB2312" w:cs="楷体_GB2312" w:hint="eastAsia"/>
          <w:sz w:val="32"/>
          <w:szCs w:val="32"/>
        </w:rPr>
        <w:t>（三）变更管理。</w:t>
      </w:r>
      <w:r>
        <w:rPr>
          <w:rFonts w:ascii="仿宋_GB2312" w:eastAsia="仿宋_GB2312" w:hAnsi="仿宋_GB2312" w:cs="仿宋_GB2312" w:hint="eastAsia"/>
          <w:sz w:val="32"/>
          <w:szCs w:val="32"/>
        </w:rPr>
        <w:t>经审查通过的绿色建筑设计内容不得擅自变更。涉及绿色建筑等级等关键指标变更的，必须报原审查机构重新审查。申请绿色金融、公积金政策支持并通过绿色建筑等级核查的居住建筑项目，不得降低绿色建筑星级标准。</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五、严格施工管理，确保过程质量</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（一）技术交底。</w:t>
      </w:r>
      <w:r>
        <w:rPr>
          <w:rFonts w:ascii="仿宋_GB2312" w:eastAsia="仿宋_GB2312" w:hAnsi="仿宋_GB2312" w:cs="仿宋_GB2312" w:hint="eastAsia"/>
          <w:sz w:val="32"/>
          <w:szCs w:val="32"/>
        </w:rPr>
        <w:t>建设单位应在开工前组织设计、施工、监理单位就绿色建筑设计相关内容进行设计交底。建设、设计、施工单位不得在建筑活动中使用列入禁止使用目录的建筑技术、工艺、材料和设备，监理单位应当将相关要求纳入监理范围。</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（二）施工方案。</w:t>
      </w:r>
      <w:r>
        <w:rPr>
          <w:rFonts w:ascii="仿宋_GB2312" w:eastAsia="仿宋_GB2312" w:hAnsi="仿宋_GB2312" w:cs="仿宋_GB2312" w:hint="eastAsia"/>
          <w:sz w:val="32"/>
          <w:szCs w:val="32"/>
        </w:rPr>
        <w:t>施工单位应依据审查合格的施工图及设计交底，编制详细的绿色建筑专项施工方案，经监理单位审核后组织实施。方案应包含环境保护、节材、节水、节能、节地等内容。</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（三）监理细则。</w:t>
      </w:r>
      <w:r>
        <w:rPr>
          <w:rFonts w:ascii="仿宋_GB2312" w:eastAsia="仿宋_GB2312" w:hAnsi="仿宋_GB2312" w:cs="仿宋_GB2312" w:hint="eastAsia"/>
          <w:sz w:val="32"/>
          <w:szCs w:val="32"/>
        </w:rPr>
        <w:t>监理单位应按照审查合格的施工图设计文件编制《绿色建筑专项监理实施细则》，明确旁站、巡视、平行检验的关键工序（如保温层施工、外窗气密性、可再生能源设备安装）。</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（四）材料进场。</w:t>
      </w:r>
      <w:r>
        <w:rPr>
          <w:rFonts w:ascii="仿宋_GB2312" w:eastAsia="仿宋_GB2312" w:hAnsi="仿宋_GB2312" w:cs="仿宋_GB2312" w:hint="eastAsia"/>
          <w:sz w:val="32"/>
          <w:szCs w:val="32"/>
        </w:rPr>
        <w:t>施工单位应建立建材进场台账，对主要材料、构配件、设备进行现场验收和复验。对保温材料等主要材料要核查产品合格证、出厂检验报告、型式检验报告（含燃烧性能等级）。监理单位应履行见证取样职责，发现复试不合格的建材坚决清出施工现场。</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（五）检测报告。</w:t>
      </w:r>
      <w:r>
        <w:rPr>
          <w:rFonts w:ascii="仿宋_GB2312" w:eastAsia="仿宋_GB2312" w:hAnsi="仿宋_GB2312" w:cs="仿宋_GB2312" w:hint="eastAsia"/>
          <w:sz w:val="32"/>
          <w:szCs w:val="32"/>
        </w:rPr>
        <w:t>工程质量检测机构应按照《条例》第二十条要求出具真实、准确的检测报告，发现不符合设计或规范要求的项目，应及时上报工程质量监督机构。</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（六）监督抽查。</w:t>
      </w:r>
      <w:r>
        <w:rPr>
          <w:rFonts w:ascii="仿宋_GB2312" w:eastAsia="仿宋_GB2312" w:hAnsi="仿宋_GB2312" w:cs="仿宋_GB2312" w:hint="eastAsia"/>
          <w:sz w:val="32"/>
          <w:szCs w:val="32"/>
        </w:rPr>
        <w:t>工程质量监督机构应将绿色建筑施工内容纳入日常监督计划，加强对绿色建筑工程实体施工质量及原材料的抽查抽测，包括关键环节及关键部位实施样板引路、隐蔽工程影像资料留存情况及见证取样检测制度落实情况。对未按照绿色建筑设计文件及规范要求进行施工、监理、验收、出具虚假检测报告的各责任单位依法依规严肃处理。</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（七）施工资料留存。</w:t>
      </w:r>
      <w:r>
        <w:rPr>
          <w:rFonts w:ascii="仿宋_GB2312" w:eastAsia="仿宋_GB2312" w:hAnsi="仿宋_GB2312" w:cs="仿宋_GB2312" w:hint="eastAsia"/>
          <w:sz w:val="32"/>
          <w:szCs w:val="32"/>
        </w:rPr>
        <w:t>施工单位应当同步留存绿色建筑关键工序施工记录、隐蔽工程影像资料、设计变更文件及材料台账，作为竣工验收和档案归集的依据。</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六、规范竣工验收，严把交付关口</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（一）专项验收。</w:t>
      </w:r>
      <w:r>
        <w:rPr>
          <w:rFonts w:ascii="仿宋_GB2312" w:eastAsia="仿宋_GB2312" w:hAnsi="仿宋_GB2312" w:cs="仿宋_GB2312" w:hint="eastAsia"/>
          <w:sz w:val="32"/>
          <w:szCs w:val="32"/>
        </w:rPr>
        <w:t>建设单位组织工程竣工验收时，应组织设计、施工、监理等单位对建筑是否符合绿色建筑标准进行验收。不符合绿色建筑标准的，不得通过竣工验收。</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（二）验收内容。</w:t>
      </w:r>
      <w:r>
        <w:rPr>
          <w:rFonts w:ascii="仿宋_GB2312" w:eastAsia="仿宋_GB2312" w:hAnsi="仿宋_GB2312" w:cs="仿宋_GB2312" w:hint="eastAsia"/>
          <w:sz w:val="32"/>
          <w:szCs w:val="32"/>
        </w:rPr>
        <w:t>建设单位应组织施工单位依据《绿色建筑工程验收标准》（</w:t>
      </w:r>
      <w:r>
        <w:rPr>
          <w:rFonts w:ascii="仿宋_GB2312" w:eastAsia="仿宋_GB2312" w:hAnsi="仿宋_GB2312" w:cs="仿宋_GB2312"/>
          <w:sz w:val="32"/>
          <w:szCs w:val="32"/>
        </w:rPr>
        <w:t>DB22/T5066</w:t>
      </w:r>
      <w:r>
        <w:rPr>
          <w:rFonts w:ascii="仿宋_GB2312" w:eastAsia="仿宋_GB2312" w:hAnsi="仿宋_GB2312" w:cs="仿宋_GB2312" w:hint="eastAsia"/>
          <w:sz w:val="32"/>
          <w:szCs w:val="32"/>
        </w:rPr>
        <w:t>）及相关规范，对绿色建筑各项技术措施、检测报告（包括室内空气质量、隔声性能、照明等）、能效测评结果（按项目类型）进行核查，并填写统一格式的《绿色建筑工程验收记录表》（见附件）。</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（三）档案管理。城建档案管理部门</w:t>
      </w:r>
      <w:r>
        <w:rPr>
          <w:rFonts w:ascii="仿宋_GB2312" w:eastAsia="仿宋_GB2312" w:hAnsi="仿宋_GB2312" w:cs="仿宋_GB2312" w:hint="eastAsia"/>
          <w:sz w:val="32"/>
          <w:szCs w:val="32"/>
        </w:rPr>
        <w:t>在办理工程档案验收时，应核查绿色建筑技术档案，包括图纸会审记录、设计变更文件（特别是涉及绿色建筑等级指标的变更是否重新审查）、隐蔽工程验收记录及相关影像资料等。资料不全或验收不合格的，函告工程备案机关不予竣工备案。</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（四）监督检查。</w:t>
      </w:r>
      <w:r>
        <w:rPr>
          <w:rFonts w:ascii="仿宋_GB2312" w:eastAsia="仿宋_GB2312" w:hAnsi="仿宋_GB2312" w:cs="仿宋_GB2312" w:hint="eastAsia"/>
          <w:sz w:val="32"/>
          <w:szCs w:val="32"/>
        </w:rPr>
        <w:t>住房城乡建设主管部门应按照《条例》第二十一条规定对绿色建筑验收情况进行监督检查，发现建设单位未按标准验收或弄虚作假的，责令重新组织验收，并依法处理。</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七、落实运行管理与标识制度</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（一）标识申请。</w:t>
      </w:r>
      <w:r>
        <w:rPr>
          <w:rFonts w:ascii="仿宋_GB2312" w:eastAsia="仿宋_GB2312" w:hAnsi="仿宋_GB2312" w:cs="仿宋_GB2312" w:hint="eastAsia"/>
          <w:sz w:val="32"/>
          <w:szCs w:val="32"/>
        </w:rPr>
        <w:t>绿色建筑实行标识制度。国家机关办公建筑及国有资金参与投资建设的其他公共建筑应当依据《条例》和国家相关政策要求，申报绿色建筑标识。建设单位应在项目竣工验收后一年内向市级住房城乡建设主管部门申请绿色建筑标识。</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（二）预评价与预认定。</w:t>
      </w:r>
      <w:r>
        <w:rPr>
          <w:rFonts w:ascii="仿宋_GB2312" w:eastAsia="仿宋_GB2312" w:hAnsi="仿宋_GB2312" w:cs="仿宋_GB2312" w:hint="eastAsia"/>
          <w:sz w:val="32"/>
          <w:szCs w:val="32"/>
        </w:rPr>
        <w:t>鼓励建设单位在施工图审查通过后，依据《绿色建筑评价标准》开展绿色建筑预评价，作为过程管控和竣工验收的对照依据。申请绿色金融、住房公积金政策支持的项目，可在施工图审查后申请绿色建筑星级预认定，预认定不授予标识，其结论不作为竣工验收的最终依据。</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（三）运行评估。</w:t>
      </w:r>
      <w:r>
        <w:rPr>
          <w:rFonts w:ascii="仿宋_GB2312" w:eastAsia="仿宋_GB2312" w:hAnsi="仿宋_GB2312" w:cs="仿宋_GB2312" w:hint="eastAsia"/>
          <w:sz w:val="32"/>
          <w:szCs w:val="32"/>
        </w:rPr>
        <w:t>取得绿色建筑标识的项目、国家机关办公建筑和大型公共建筑所有权人或使用权人应对建筑用能系统进行监测维护，配合主管部门开展能耗统计和运行评估。具体要求由省机关事务管理部门、省住房城乡建设部门另行制定。</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八、压实建设单位首要责任</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（一）主体责任与合同管理。</w:t>
      </w:r>
      <w:r>
        <w:rPr>
          <w:rFonts w:ascii="仿宋_GB2312" w:eastAsia="仿宋_GB2312" w:hAnsi="仿宋_GB2312" w:cs="仿宋_GB2312" w:hint="eastAsia"/>
          <w:sz w:val="32"/>
          <w:szCs w:val="32"/>
        </w:rPr>
        <w:t>建设单位对工程建设质量承担首要责任，不得明示或暗示设计、施工单位降低标准，在委托设计、施工、监理时，应当在招标文件、承发包合同中载明绿色建筑等级及违约要求，并将相关费用纳入工程概算、预算。牵头组织各参建单位建立全过程质量管控制度，强化对设计、施工、监理、检测单位的履约管理，确保绿色建筑工程质量满足标准要求。</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（二）信息公开。</w:t>
      </w:r>
      <w:r>
        <w:rPr>
          <w:rFonts w:ascii="仿宋_GB2312" w:eastAsia="仿宋_GB2312" w:hAnsi="仿宋_GB2312" w:cs="仿宋_GB2312" w:hint="eastAsia"/>
          <w:sz w:val="32"/>
          <w:szCs w:val="32"/>
        </w:rPr>
        <w:t>房地产开发企业应按照《条例》规定，在售楼现场明示绿色建筑等级、主要技术措施、保修期限等，并在商品房买卖合同、住宅质量保证书、住宅使用说明书中如实载明。</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九、强化监管与保障措施</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（一）联合检查。</w:t>
      </w:r>
      <w:r>
        <w:rPr>
          <w:rFonts w:ascii="仿宋_GB2312" w:eastAsia="仿宋_GB2312" w:hAnsi="仿宋_GB2312" w:cs="仿宋_GB2312" w:hint="eastAsia"/>
          <w:sz w:val="32"/>
          <w:szCs w:val="32"/>
        </w:rPr>
        <w:t>各级自然资源、机关事务管理、住房城乡建设主管部门应定期开展绿色建筑专项检查或联合督查，重点检查大型公共建筑和国家机关办公建筑、国有资金参与投资建设的其他公共建筑建设和运行环节绿色建筑标准执行情况。</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（二）信用管理。</w:t>
      </w:r>
      <w:r>
        <w:rPr>
          <w:rFonts w:ascii="仿宋_GB2312" w:eastAsia="仿宋_GB2312" w:hAnsi="仿宋_GB2312" w:cs="仿宋_GB2312" w:hint="eastAsia"/>
          <w:sz w:val="32"/>
          <w:szCs w:val="32"/>
        </w:rPr>
        <w:t>对未按绿色建筑标准建设、提供虚假数据、出具虚假报告等行为的责任单位和责任人，依法依规处理，并纳入建筑市场信用管理体系。具体处罚依照《吉林省绿色建筑发展条例》有关规定执行。</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（三）激励政策。</w:t>
      </w:r>
      <w:r>
        <w:rPr>
          <w:rFonts w:ascii="仿宋_GB2312" w:eastAsia="仿宋_GB2312" w:hAnsi="仿宋_GB2312" w:cs="仿宋_GB2312" w:hint="eastAsia"/>
          <w:sz w:val="32"/>
          <w:szCs w:val="32"/>
        </w:rPr>
        <w:t>各地应当综合运用绿色金融、住房公积金、财政奖补、容积率奖励、评优评先等政策工具，对星级绿色建筑、超低能耗建筑、装配式建筑和绿色建材应用项目给予支持，具体办法由各地结合实际制定。</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楷体_GB2312" w:eastAsia="楷体_GB2312" w:hAnsi="楷体_GB2312" w:cs="楷体_GB2312" w:hint="eastAsia"/>
          <w:sz w:val="32"/>
          <w:szCs w:val="32"/>
        </w:rPr>
        <w:t>（四）宣传培训。</w:t>
      </w:r>
      <w:r>
        <w:rPr>
          <w:rFonts w:ascii="仿宋_GB2312" w:eastAsia="仿宋_GB2312" w:hAnsi="仿宋_GB2312" w:cs="仿宋_GB2312" w:hint="eastAsia"/>
          <w:sz w:val="32"/>
          <w:szCs w:val="32"/>
        </w:rPr>
        <w:t>各级发展改革、自然资源、住房城乡建设、机关事务主管部门应加强绿色建筑政策、标准宣贯培训，提升行业能力。</w:t>
      </w:r>
    </w:p>
    <w:p w:rsidR="00101D1B" w:rsidRDefault="00101D1B" w:rsidP="0089255F">
      <w:pPr>
        <w:spacing w:line="579" w:lineRule="exact"/>
        <w:ind w:firstLineChars="200" w:firstLine="31680"/>
        <w:rPr>
          <w:rFonts w:ascii="黑体" w:eastAsia="黑体" w:hAnsi="黑体" w:cs="Times New Roman"/>
          <w:sz w:val="32"/>
          <w:szCs w:val="32"/>
        </w:rPr>
      </w:pPr>
      <w:r>
        <w:rPr>
          <w:rFonts w:ascii="黑体" w:eastAsia="黑体" w:hAnsi="黑体" w:cs="黑体" w:hint="eastAsia"/>
          <w:sz w:val="32"/>
          <w:szCs w:val="32"/>
        </w:rPr>
        <w:t>十、其他</w:t>
      </w: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仿宋_GB2312" w:eastAsia="仿宋_GB2312" w:hAnsi="仿宋_GB2312" w:cs="仿宋_GB2312" w:hint="eastAsia"/>
          <w:sz w:val="32"/>
          <w:szCs w:val="32"/>
        </w:rPr>
        <w:t>本通知自印发之日起施行。此前有关规定与本通知不一致的，以本通知及《吉林省绿色建筑发展条例》为准。绿色建筑设计专篇编制大纲、施工图审查要点等，由省住房城乡建设主管部门另行发布。</w:t>
      </w:r>
    </w:p>
    <w:p w:rsidR="00101D1B" w:rsidRDefault="00101D1B" w:rsidP="0089255F">
      <w:pPr>
        <w:spacing w:line="579" w:lineRule="exact"/>
        <w:ind w:firstLineChars="200" w:firstLine="31680"/>
        <w:rPr>
          <w:rFonts w:ascii="仿宋_GB2312" w:eastAsia="仿宋_GB2312" w:hAnsi="仿宋_GB2312" w:cs="Times New Roman"/>
          <w:sz w:val="32"/>
          <w:szCs w:val="32"/>
        </w:rPr>
      </w:pPr>
    </w:p>
    <w:p w:rsidR="00101D1B" w:rsidRDefault="00101D1B" w:rsidP="0089255F">
      <w:pPr>
        <w:spacing w:line="579" w:lineRule="exact"/>
        <w:ind w:firstLineChars="200" w:firstLine="31680"/>
        <w:rPr>
          <w:rFonts w:ascii="仿宋_GB2312" w:eastAsia="仿宋_GB2312" w:hAnsi="仿宋_GB2312" w:cs="Times New Roman"/>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绿色建筑施工方案编制大纲</w:t>
      </w:r>
    </w:p>
    <w:p w:rsidR="00101D1B" w:rsidRDefault="00101D1B" w:rsidP="0089255F">
      <w:pPr>
        <w:spacing w:line="579" w:lineRule="exact"/>
        <w:ind w:firstLineChars="500" w:firstLine="31680"/>
        <w:rPr>
          <w:rFonts w:ascii="仿宋_GB2312" w:eastAsia="仿宋_GB2312" w:hAnsi="仿宋_GB2312" w:cs="Times New Roman"/>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绿色建筑专项监理实施细则编制大纲</w:t>
      </w:r>
    </w:p>
    <w:p w:rsidR="00101D1B" w:rsidRDefault="00101D1B" w:rsidP="0089255F">
      <w:pPr>
        <w:spacing w:line="579" w:lineRule="exact"/>
        <w:ind w:firstLineChars="500" w:firstLine="31680"/>
        <w:rPr>
          <w:rFonts w:ascii="仿宋_GB2312" w:eastAsia="仿宋_GB2312" w:hAnsi="仿宋_GB2312" w:cs="Times New Roman"/>
          <w:sz w:val="32"/>
          <w:szCs w:val="32"/>
        </w:rPr>
      </w:pPr>
      <w:r>
        <w:rPr>
          <w:rFonts w:ascii="仿宋_GB2312" w:eastAsia="仿宋_GB2312" w:hAnsi="仿宋_GB2312" w:cs="仿宋_GB2312"/>
          <w:sz w:val="32"/>
          <w:szCs w:val="32"/>
        </w:rPr>
        <w:t>3.</w:t>
      </w:r>
      <w:r>
        <w:rPr>
          <w:rFonts w:ascii="仿宋_GB2312" w:eastAsia="仿宋_GB2312" w:hAnsi="仿宋_GB2312" w:cs="仿宋_GB2312" w:hint="eastAsia"/>
          <w:sz w:val="32"/>
          <w:szCs w:val="32"/>
        </w:rPr>
        <w:t>绿色建筑工程验收记录表（样表）</w:t>
      </w:r>
    </w:p>
    <w:p w:rsidR="00101D1B" w:rsidRDefault="00101D1B" w:rsidP="0089255F">
      <w:pPr>
        <w:spacing w:line="579" w:lineRule="exact"/>
        <w:ind w:firstLineChars="200" w:firstLine="31680"/>
        <w:rPr>
          <w:rFonts w:ascii="仿宋_GB2312" w:eastAsia="仿宋_GB2312" w:hAnsi="仿宋_GB2312" w:cs="Times New Roman"/>
          <w:sz w:val="32"/>
          <w:szCs w:val="32"/>
        </w:rPr>
      </w:pPr>
    </w:p>
    <w:p w:rsidR="00101D1B" w:rsidRDefault="00101D1B" w:rsidP="0089255F">
      <w:pPr>
        <w:spacing w:line="579" w:lineRule="exact"/>
        <w:ind w:firstLineChars="200" w:firstLine="31680"/>
        <w:rPr>
          <w:rFonts w:ascii="仿宋_GB2312" w:eastAsia="仿宋_GB2312" w:hAnsi="仿宋_GB2312" w:cs="Times New Roman"/>
          <w:sz w:val="32"/>
          <w:szCs w:val="32"/>
        </w:rPr>
      </w:pPr>
    </w:p>
    <w:p w:rsidR="00101D1B" w:rsidRDefault="00101D1B" w:rsidP="0089255F">
      <w:pPr>
        <w:spacing w:line="579" w:lineRule="exact"/>
        <w:ind w:firstLineChars="200" w:firstLine="31680"/>
        <w:rPr>
          <w:rFonts w:ascii="仿宋_GB2312" w:eastAsia="仿宋_GB2312" w:hAnsi="仿宋_GB2312" w:cs="Times New Roman"/>
          <w:sz w:val="32"/>
          <w:szCs w:val="32"/>
        </w:rPr>
      </w:pPr>
    </w:p>
    <w:p w:rsidR="00101D1B" w:rsidRDefault="00101D1B" w:rsidP="0089255F">
      <w:pPr>
        <w:spacing w:line="579" w:lineRule="exact"/>
        <w:ind w:firstLineChars="200" w:firstLine="31680"/>
        <w:rPr>
          <w:rFonts w:ascii="仿宋_GB2312" w:eastAsia="仿宋_GB2312" w:hAnsi="仿宋_GB2312" w:cs="Times New Roman"/>
          <w:sz w:val="32"/>
          <w:szCs w:val="32"/>
        </w:rPr>
      </w:pPr>
    </w:p>
    <w:p w:rsidR="00101D1B" w:rsidRDefault="00101D1B" w:rsidP="0089255F">
      <w:pPr>
        <w:spacing w:line="579" w:lineRule="exact"/>
        <w:rPr>
          <w:rFonts w:ascii="仿宋_GB2312" w:eastAsia="仿宋_GB2312" w:hAnsi="仿宋_GB2312" w:cs="Times New Roman"/>
          <w:sz w:val="32"/>
          <w:szCs w:val="32"/>
        </w:rPr>
      </w:pPr>
      <w:r>
        <w:rPr>
          <w:rFonts w:ascii="仿宋_GB2312" w:eastAsia="仿宋_GB2312" w:hAnsi="仿宋_GB2312" w:cs="仿宋_GB2312" w:hint="eastAsia"/>
          <w:sz w:val="32"/>
          <w:szCs w:val="32"/>
        </w:rPr>
        <w:t>吉林省住房和城乡建设厅吉林省发展和改革委员会</w:t>
      </w:r>
    </w:p>
    <w:p w:rsidR="00101D1B" w:rsidRDefault="00101D1B" w:rsidP="0089255F">
      <w:pPr>
        <w:spacing w:line="579" w:lineRule="exact"/>
        <w:rPr>
          <w:rFonts w:ascii="仿宋_GB2312" w:eastAsia="仿宋_GB2312" w:hAnsi="仿宋_GB2312" w:cs="Times New Roman"/>
          <w:sz w:val="32"/>
          <w:szCs w:val="32"/>
        </w:rPr>
      </w:pPr>
    </w:p>
    <w:p w:rsidR="00101D1B" w:rsidRDefault="00101D1B" w:rsidP="0089255F">
      <w:pPr>
        <w:spacing w:line="579" w:lineRule="exact"/>
        <w:rPr>
          <w:rFonts w:ascii="仿宋_GB2312" w:eastAsia="仿宋_GB2312" w:hAnsi="仿宋_GB2312" w:cs="Times New Roman"/>
          <w:sz w:val="32"/>
          <w:szCs w:val="32"/>
        </w:rPr>
      </w:pPr>
    </w:p>
    <w:p w:rsidR="00101D1B" w:rsidRDefault="00101D1B" w:rsidP="0089255F">
      <w:pPr>
        <w:spacing w:line="579" w:lineRule="exact"/>
        <w:rPr>
          <w:rFonts w:ascii="仿宋_GB2312" w:eastAsia="仿宋_GB2312" w:hAnsi="仿宋_GB2312" w:cs="Times New Roman"/>
          <w:sz w:val="32"/>
          <w:szCs w:val="32"/>
        </w:rPr>
      </w:pPr>
    </w:p>
    <w:p w:rsidR="00101D1B" w:rsidRDefault="00101D1B" w:rsidP="0089255F">
      <w:pPr>
        <w:spacing w:line="579" w:lineRule="exact"/>
        <w:ind w:left="31680" w:hangingChars="1400" w:firstLine="31680"/>
        <w:rPr>
          <w:rFonts w:ascii="仿宋_GB2312" w:eastAsia="仿宋_GB2312" w:hAnsi="仿宋_GB2312" w:cs="Times New Roman"/>
          <w:sz w:val="32"/>
          <w:szCs w:val="32"/>
        </w:rPr>
      </w:pPr>
      <w:r>
        <w:rPr>
          <w:rFonts w:ascii="仿宋_GB2312" w:eastAsia="仿宋_GB2312" w:hAnsi="仿宋_GB2312" w:cs="仿宋_GB2312" w:hint="eastAsia"/>
          <w:sz w:val="32"/>
          <w:szCs w:val="32"/>
        </w:rPr>
        <w:t>吉林省自然资源厅吉林省机关事务管理局</w:t>
      </w:r>
    </w:p>
    <w:p w:rsidR="00101D1B" w:rsidRDefault="00101D1B" w:rsidP="0089255F">
      <w:pPr>
        <w:spacing w:line="579" w:lineRule="exact"/>
        <w:ind w:leftChars="2128" w:left="31680" w:firstLineChars="300" w:firstLine="31680"/>
        <w:rPr>
          <w:rFonts w:ascii="仿宋_GB2312" w:eastAsia="仿宋_GB2312" w:hAnsi="仿宋_GB2312" w:cs="Times New Roman"/>
          <w:sz w:val="32"/>
          <w:szCs w:val="32"/>
        </w:rPr>
      </w:pPr>
      <w:r>
        <w:rPr>
          <w:rFonts w:ascii="仿宋_GB2312" w:eastAsia="仿宋_GB2312" w:hAnsi="仿宋_GB2312" w:cs="仿宋_GB2312"/>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10</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28</w:t>
      </w:r>
      <w:r>
        <w:rPr>
          <w:rFonts w:ascii="仿宋_GB2312" w:eastAsia="仿宋_GB2312" w:hAnsi="仿宋_GB2312" w:cs="仿宋_GB2312" w:hint="eastAsia"/>
          <w:sz w:val="32"/>
          <w:szCs w:val="32"/>
        </w:rPr>
        <w:t>日</w:t>
      </w:r>
      <w:bookmarkStart w:id="0" w:name="_GoBack"/>
      <w:bookmarkEnd w:id="0"/>
    </w:p>
    <w:p w:rsidR="00101D1B" w:rsidRDefault="00101D1B">
      <w:pPr>
        <w:rPr>
          <w:rFonts w:ascii="黑体" w:eastAsia="黑体" w:hAnsi="黑体" w:cs="Times New Roman"/>
          <w:sz w:val="32"/>
          <w:szCs w:val="32"/>
        </w:rPr>
      </w:pPr>
    </w:p>
    <w:sectPr w:rsidR="00101D1B" w:rsidSect="0089255F">
      <w:footerReference w:type="default" r:id="rId7"/>
      <w:pgSz w:w="11906" w:h="16838"/>
      <w:pgMar w:top="2098" w:right="1474" w:bottom="1985" w:left="1588" w:header="851" w:footer="1590" w:gutter="0"/>
      <w:pgNumType w:fmt="numberInDash" w:start="3"/>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D1B" w:rsidRDefault="00101D1B" w:rsidP="00805BDB">
      <w:pPr>
        <w:rPr>
          <w:rFonts w:cs="Times New Roman"/>
        </w:rPr>
      </w:pPr>
      <w:r>
        <w:rPr>
          <w:rFonts w:cs="Times New Roman"/>
        </w:rPr>
        <w:separator/>
      </w:r>
    </w:p>
  </w:endnote>
  <w:endnote w:type="continuationSeparator" w:id="1">
    <w:p w:rsidR="00101D1B" w:rsidRDefault="00101D1B" w:rsidP="00805BDB">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um"/>
    <w:panose1 w:val="02010609060101010101"/>
    <w:charset w:val="86"/>
    <w:family w:val="modern"/>
    <w:pitch w:val="fixed"/>
    <w:sig w:usb0="800002BF" w:usb1="38CF7CFA" w:usb2="00000016" w:usb3="00000000" w:csb0="00040001" w:csb1="00000000"/>
  </w:font>
  <w:font w:name="方正小标宋简体">
    <w:altName w:val="方正舒体"/>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1B" w:rsidRPr="0089255F" w:rsidRDefault="00101D1B" w:rsidP="006D092A">
    <w:pPr>
      <w:pStyle w:val="Footer"/>
      <w:framePr w:wrap="auto" w:vAnchor="text" w:hAnchor="margin" w:xAlign="outside" w:y="1"/>
      <w:rPr>
        <w:rStyle w:val="PageNumber"/>
        <w:rFonts w:ascii="仿宋_GB2312" w:eastAsia="仿宋_GB2312" w:cs="Times New Roman"/>
        <w:sz w:val="28"/>
        <w:szCs w:val="28"/>
      </w:rPr>
    </w:pPr>
    <w:r w:rsidRPr="0089255F">
      <w:rPr>
        <w:rStyle w:val="PageNumber"/>
        <w:rFonts w:ascii="仿宋_GB2312" w:eastAsia="仿宋_GB2312" w:cs="仿宋_GB2312"/>
        <w:sz w:val="28"/>
        <w:szCs w:val="28"/>
      </w:rPr>
      <w:fldChar w:fldCharType="begin"/>
    </w:r>
    <w:r w:rsidRPr="0089255F">
      <w:rPr>
        <w:rStyle w:val="PageNumber"/>
        <w:rFonts w:ascii="仿宋_GB2312" w:eastAsia="仿宋_GB2312" w:cs="仿宋_GB2312"/>
        <w:sz w:val="28"/>
        <w:szCs w:val="28"/>
      </w:rPr>
      <w:instrText xml:space="preserve">PAGE  </w:instrText>
    </w:r>
    <w:r w:rsidRPr="0089255F">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- 10 -</w:t>
    </w:r>
    <w:r w:rsidRPr="0089255F">
      <w:rPr>
        <w:rStyle w:val="PageNumber"/>
        <w:rFonts w:ascii="仿宋_GB2312" w:eastAsia="仿宋_GB2312" w:cs="仿宋_GB2312"/>
        <w:sz w:val="28"/>
        <w:szCs w:val="28"/>
      </w:rPr>
      <w:fldChar w:fldCharType="end"/>
    </w:r>
  </w:p>
  <w:p w:rsidR="00101D1B" w:rsidRDefault="00101D1B" w:rsidP="0089255F">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D1B" w:rsidRDefault="00101D1B" w:rsidP="00805BDB">
      <w:pPr>
        <w:rPr>
          <w:rFonts w:cs="Times New Roman"/>
        </w:rPr>
      </w:pPr>
      <w:r>
        <w:rPr>
          <w:rFonts w:cs="Times New Roman"/>
        </w:rPr>
        <w:separator/>
      </w:r>
    </w:p>
  </w:footnote>
  <w:footnote w:type="continuationSeparator" w:id="1">
    <w:p w:rsidR="00101D1B" w:rsidRDefault="00101D1B" w:rsidP="00805BDB">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5AE8CE"/>
    <w:multiLevelType w:val="singleLevel"/>
    <w:tmpl w:val="975AE8CE"/>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787D0CDD"/>
    <w:rsid w:val="00101D1B"/>
    <w:rsid w:val="002B368C"/>
    <w:rsid w:val="002F2125"/>
    <w:rsid w:val="003E7F81"/>
    <w:rsid w:val="004E63ED"/>
    <w:rsid w:val="006D092A"/>
    <w:rsid w:val="00703E35"/>
    <w:rsid w:val="00805BDB"/>
    <w:rsid w:val="0089255F"/>
    <w:rsid w:val="008B2A76"/>
    <w:rsid w:val="00D07D1D"/>
    <w:rsid w:val="0B9A50A9"/>
    <w:rsid w:val="0C3E2B95"/>
    <w:rsid w:val="0E8B1047"/>
    <w:rsid w:val="13FD7CF8"/>
    <w:rsid w:val="147C537A"/>
    <w:rsid w:val="17C3498C"/>
    <w:rsid w:val="1C40102E"/>
    <w:rsid w:val="1C73723E"/>
    <w:rsid w:val="1FAF5A89"/>
    <w:rsid w:val="23813BD0"/>
    <w:rsid w:val="240D14E6"/>
    <w:rsid w:val="250500A4"/>
    <w:rsid w:val="25867336"/>
    <w:rsid w:val="28622F4A"/>
    <w:rsid w:val="2BE70514"/>
    <w:rsid w:val="32DF15F7"/>
    <w:rsid w:val="38927236"/>
    <w:rsid w:val="38BD3434"/>
    <w:rsid w:val="3B3C5572"/>
    <w:rsid w:val="3C1347A9"/>
    <w:rsid w:val="3D2B49CD"/>
    <w:rsid w:val="403260D5"/>
    <w:rsid w:val="463217AB"/>
    <w:rsid w:val="46BD2C06"/>
    <w:rsid w:val="47DA3938"/>
    <w:rsid w:val="482C7880"/>
    <w:rsid w:val="506A0B43"/>
    <w:rsid w:val="508E21DC"/>
    <w:rsid w:val="53D35347"/>
    <w:rsid w:val="54F97090"/>
    <w:rsid w:val="55A46A35"/>
    <w:rsid w:val="55D86516"/>
    <w:rsid w:val="5DAA63AF"/>
    <w:rsid w:val="6B5B6D84"/>
    <w:rsid w:val="6C3F08F9"/>
    <w:rsid w:val="6DDF4661"/>
    <w:rsid w:val="75191FA2"/>
    <w:rsid w:val="76F2417D"/>
    <w:rsid w:val="7846798B"/>
    <w:rsid w:val="787D0CDD"/>
    <w:rsid w:val="7B2D68A5"/>
    <w:rsid w:val="7C46658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DB"/>
    <w:pPr>
      <w:widowControl w:val="0"/>
      <w:jc w:val="both"/>
    </w:pPr>
    <w:rPr>
      <w:rFonts w:ascii="Calibri" w:hAnsi="Calibri" w:cs="Calibri"/>
      <w:szCs w:val="21"/>
    </w:rPr>
  </w:style>
  <w:style w:type="paragraph" w:styleId="Heading2">
    <w:name w:val="heading 2"/>
    <w:basedOn w:val="Normal"/>
    <w:next w:val="Normal"/>
    <w:link w:val="Heading2Char"/>
    <w:uiPriority w:val="99"/>
    <w:qFormat/>
    <w:rsid w:val="00805BDB"/>
    <w:pPr>
      <w:spacing w:beforeAutospacing="1" w:afterAutospacing="1"/>
      <w:jc w:val="left"/>
      <w:outlineLvl w:val="1"/>
    </w:pPr>
    <w:rPr>
      <w:rFonts w:ascii="宋体" w:hAnsi="宋体" w:cs="宋体"/>
      <w:b/>
      <w:bCs/>
      <w:kern w:val="0"/>
      <w:sz w:val="36"/>
      <w:szCs w:val="36"/>
    </w:rPr>
  </w:style>
  <w:style w:type="paragraph" w:styleId="Heading3">
    <w:name w:val="heading 3"/>
    <w:basedOn w:val="Normal"/>
    <w:next w:val="Normal"/>
    <w:link w:val="Heading3Char"/>
    <w:uiPriority w:val="99"/>
    <w:qFormat/>
    <w:rsid w:val="00805BDB"/>
    <w:pPr>
      <w:spacing w:beforeAutospacing="1" w:afterAutospacing="1"/>
      <w:jc w:val="left"/>
      <w:outlineLvl w:val="2"/>
    </w:pPr>
    <w:rPr>
      <w:rFonts w:ascii="宋体" w:hAnsi="宋体" w:cs="宋体"/>
      <w:b/>
      <w:bCs/>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805BDB"/>
    <w:rPr>
      <w:rFonts w:ascii="Cambria" w:eastAsia="宋体" w:hAnsi="Cambria" w:cs="Cambria"/>
      <w:b/>
      <w:bCs/>
      <w:sz w:val="32"/>
      <w:szCs w:val="32"/>
    </w:rPr>
  </w:style>
  <w:style w:type="character" w:customStyle="1" w:styleId="Heading3Char">
    <w:name w:val="Heading 3 Char"/>
    <w:basedOn w:val="DefaultParagraphFont"/>
    <w:link w:val="Heading3"/>
    <w:uiPriority w:val="99"/>
    <w:semiHidden/>
    <w:locked/>
    <w:rsid w:val="00805BDB"/>
    <w:rPr>
      <w:rFonts w:ascii="Calibri" w:hAnsi="Calibri" w:cs="Calibri"/>
      <w:b/>
      <w:bCs/>
      <w:sz w:val="32"/>
      <w:szCs w:val="32"/>
    </w:rPr>
  </w:style>
  <w:style w:type="paragraph" w:styleId="Footer">
    <w:name w:val="footer"/>
    <w:basedOn w:val="Normal"/>
    <w:link w:val="FooterChar"/>
    <w:uiPriority w:val="99"/>
    <w:rsid w:val="00805BD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805BDB"/>
    <w:rPr>
      <w:rFonts w:ascii="Calibri" w:hAnsi="Calibri" w:cs="Calibri"/>
      <w:sz w:val="18"/>
      <w:szCs w:val="18"/>
    </w:rPr>
  </w:style>
  <w:style w:type="paragraph" w:styleId="Header">
    <w:name w:val="header"/>
    <w:basedOn w:val="Normal"/>
    <w:link w:val="HeaderChar"/>
    <w:uiPriority w:val="99"/>
    <w:rsid w:val="00805BDB"/>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locked/>
    <w:rsid w:val="00805BDB"/>
    <w:rPr>
      <w:rFonts w:ascii="Calibri" w:hAnsi="Calibri" w:cs="Calibri"/>
      <w:sz w:val="18"/>
      <w:szCs w:val="18"/>
    </w:rPr>
  </w:style>
  <w:style w:type="paragraph" w:styleId="NormalWeb">
    <w:name w:val="Normal (Web)"/>
    <w:basedOn w:val="Normal"/>
    <w:uiPriority w:val="99"/>
    <w:rsid w:val="00805BDB"/>
    <w:rPr>
      <w:sz w:val="24"/>
      <w:szCs w:val="24"/>
    </w:rPr>
  </w:style>
  <w:style w:type="character" w:styleId="Strong">
    <w:name w:val="Strong"/>
    <w:basedOn w:val="DefaultParagraphFont"/>
    <w:uiPriority w:val="99"/>
    <w:qFormat/>
    <w:rsid w:val="00805BDB"/>
    <w:rPr>
      <w:b/>
      <w:bCs/>
    </w:rPr>
  </w:style>
  <w:style w:type="character" w:styleId="PageNumber">
    <w:name w:val="page number"/>
    <w:basedOn w:val="DefaultParagraphFont"/>
    <w:uiPriority w:val="99"/>
    <w:rsid w:val="0089255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9</Pages>
  <Words>614</Words>
  <Characters>3502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泉力以赴</dc:creator>
  <cp:keywords/>
  <dc:description/>
  <cp:lastModifiedBy>许晓超</cp:lastModifiedBy>
  <cp:revision>3</cp:revision>
  <cp:lastPrinted>2026-10-28T02:11:00Z</cp:lastPrinted>
  <dcterms:created xsi:type="dcterms:W3CDTF">2026-05-20T02:06:00Z</dcterms:created>
  <dcterms:modified xsi:type="dcterms:W3CDTF">2026-10-28T02:12:00Z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63AFFC3D74064C2E98A0CD17937072A6_13</vt:lpwstr>
  </property>
  <property fmtid="{D5CDD505-2E9C-101B-9397-08002B2CF9AE}" pid="4" name="KSOTemplateDocerSaveRecord">
    <vt:lpwstr>eyJoZGlkIjoiMTMxMGNkYTJhN2NkODc0MzYwZWZhYmI0Y2E4ZDVlOGEifQ==</vt:lpwstr>
  </property>
</Properties>
</file>